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AA1C" w14:textId="63DB829B" w:rsidR="0010756E" w:rsidRDefault="00F33756" w:rsidP="00F3375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Proiect</w:t>
      </w:r>
    </w:p>
    <w:p w14:paraId="7BD20804" w14:textId="77777777" w:rsidR="00F33756" w:rsidRPr="00310C97" w:rsidRDefault="00F33756" w:rsidP="0022515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 w:eastAsia="ro-MD"/>
        </w:rPr>
      </w:pPr>
    </w:p>
    <w:p w14:paraId="3FE8AD15" w14:textId="77777777" w:rsidR="0003061C" w:rsidRPr="00051B77" w:rsidRDefault="0003061C" w:rsidP="0003061C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51B7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COMITETUL EXECUTIV</w:t>
      </w:r>
    </w:p>
    <w:p w14:paraId="5C44D04D" w14:textId="77777777" w:rsidR="0003061C" w:rsidRPr="00051B77" w:rsidRDefault="0003061C" w:rsidP="0003061C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51B7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AL BĂNCII NAȚIONALE A MOLDOVEI</w:t>
      </w:r>
    </w:p>
    <w:p w14:paraId="56F7F35C" w14:textId="77777777" w:rsidR="0003061C" w:rsidRPr="00051B77" w:rsidRDefault="0003061C" w:rsidP="0003061C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1400504" w14:textId="77777777" w:rsidR="0003061C" w:rsidRPr="00051B77" w:rsidRDefault="0003061C" w:rsidP="0003061C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51B7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HOTĂRÂREA nr.</w:t>
      </w:r>
    </w:p>
    <w:p w14:paraId="100D0FD8" w14:textId="77777777" w:rsidR="0003061C" w:rsidRPr="00051B77" w:rsidRDefault="0003061C" w:rsidP="0003061C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51B7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din ___    ____________  20 __</w:t>
      </w:r>
    </w:p>
    <w:p w14:paraId="46F16E3E" w14:textId="77777777" w:rsidR="0010756E" w:rsidRPr="00051B77" w:rsidRDefault="0010756E" w:rsidP="0022515D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DE7631B" w14:textId="11F27233" w:rsidR="0010756E" w:rsidRPr="00051B77" w:rsidRDefault="0010756E" w:rsidP="00C21C9B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51B7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pentru modificarea </w:t>
      </w:r>
      <w:r w:rsidR="00C21C9B" w:rsidRPr="00051B7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și abrogarea unor </w:t>
      </w:r>
      <w:r w:rsidR="00310C9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acte normative</w:t>
      </w:r>
    </w:p>
    <w:p w14:paraId="70D1DC1F" w14:textId="77777777" w:rsidR="0010756E" w:rsidRPr="00051B77" w:rsidRDefault="0010756E" w:rsidP="0022515D">
      <w:pPr>
        <w:pStyle w:val="NoSpacing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46E740D" w14:textId="77777777" w:rsidR="0010756E" w:rsidRPr="00051B77" w:rsidRDefault="0010756E" w:rsidP="0022515D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C66E94C" w14:textId="1838D284" w:rsidR="0010756E" w:rsidRPr="00051B77" w:rsidRDefault="0010756E" w:rsidP="00D541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În temeiul art. </w:t>
      </w:r>
      <w:r w:rsidR="0005179E"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30 alin. (4), art. 31 alin. (6), art. </w:t>
      </w:r>
      <w:r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35 alin. (6</w:t>
      </w:r>
      <w:r w:rsidR="00D541E4"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  <w:r w:rsidR="00F33756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,</w:t>
      </w:r>
      <w:r w:rsidR="00D541E4"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art. 36 alin. (9), </w:t>
      </w:r>
      <w:r w:rsidR="00A81CF0"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art. 43 alin. (3), alin. (31) și alin. (8) </w:t>
      </w:r>
      <w:proofErr w:type="spellStart"/>
      <w:r w:rsidR="00A81CF0"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şi</w:t>
      </w:r>
      <w:proofErr w:type="spellEnd"/>
      <w:r w:rsidR="00A81CF0"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art. 115 alin. (8) </w:t>
      </w:r>
      <w:r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din Legea nr. 92/2022 privind activitatea de asigurare sau </w:t>
      </w:r>
      <w:r w:rsidR="00793B86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de </w:t>
      </w:r>
      <w:r w:rsidRPr="00051B77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reasigurare (Monitorul Oficial al Republicii Moldova, 2022, nr.129-133, art.229), art. X alin.(6) din Legea nr.214/2023 pentru modificarea unor acte normative (asigurarea transferului de atribuții conform Legii nr.178/2020 pentru modificarea unor acte normative), (Monitorul Oficial al Republicii Moldova, 2023, nr.287-290, art.504), Comitetul executiv al Băncii Naționale a Moldovei </w:t>
      </w:r>
    </w:p>
    <w:p w14:paraId="5CBA9119" w14:textId="77777777" w:rsidR="002167EA" w:rsidRPr="00051B77" w:rsidRDefault="002167EA" w:rsidP="0010756E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310C287" w14:textId="2F9AB265" w:rsidR="0010756E" w:rsidRPr="00051B77" w:rsidRDefault="0010756E" w:rsidP="0010756E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51B7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HOTĂRĂŞTE:</w:t>
      </w:r>
    </w:p>
    <w:p w14:paraId="2612E0BD" w14:textId="77777777" w:rsidR="00A81CF0" w:rsidRPr="00051B77" w:rsidRDefault="00A81CF0" w:rsidP="00051B77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Hotărârea</w:t>
      </w:r>
      <w:r w:rsidRPr="00051B77">
        <w:rPr>
          <w:rFonts w:ascii="Times New Roman" w:hAnsi="Times New Roman" w:cs="Times New Roman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Comitetului executiv al Băncii Naționale a Moldovei nr. 242/2024 pentru aprobarea Regulamentului privind externalizarea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funcţiilor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legate de activitatea de asigurare sau de reasigurare de către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societăţile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 asigurare sau de reasigurare (Monitorul Oficial al Republicii Moldova, 2024, nr. 418 art. 774) se modifică după cum urmează:</w:t>
      </w:r>
    </w:p>
    <w:p w14:paraId="3D447A5E" w14:textId="772E58EF" w:rsidR="00A81CF0" w:rsidRPr="00051B77" w:rsidRDefault="00A81CF0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clauza de adoptare a hotărârii  după </w:t>
      </w:r>
      <w:r w:rsidR="00DF209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textul </w:t>
      </w:r>
      <w:r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alin. (3)” se completează cu </w:t>
      </w:r>
      <w:r w:rsidR="00DF209E">
        <w:rPr>
          <w:rFonts w:ascii="Times New Roman" w:eastAsia="Times New Roman" w:hAnsi="Times New Roman" w:cs="Times New Roman"/>
          <w:sz w:val="24"/>
          <w:szCs w:val="24"/>
          <w:lang w:eastAsia="ro-MD"/>
        </w:rPr>
        <w:t>textul</w:t>
      </w:r>
      <w:r w:rsidR="00DF209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 , alin. (3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)”;</w:t>
      </w:r>
    </w:p>
    <w:p w14:paraId="07173B79" w14:textId="77777777" w:rsidR="00A81CF0" w:rsidRPr="00051B77" w:rsidRDefault="00A81CF0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Regulamentul privind externalizarea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funcţiilor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legate de activitatea de asigurare sau de reasigurare de către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societăţile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 asigurare sau de reasigurare:</w:t>
      </w:r>
    </w:p>
    <w:p w14:paraId="215143D6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punctul 1: </w:t>
      </w:r>
    </w:p>
    <w:p w14:paraId="45A42908" w14:textId="4816C6DA" w:rsidR="00A81CF0" w:rsidRPr="00051B77" w:rsidRDefault="00A81CF0" w:rsidP="00051B77">
      <w:pPr>
        <w:pStyle w:val="ListParagraph"/>
        <w:numPr>
          <w:ilvl w:val="3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după textul „(funcții și activități – în continuare)” se completează cu textul „ , inclusiv subcontractării activităților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(externalizare în lanț)”;</w:t>
      </w:r>
    </w:p>
    <w:p w14:paraId="45C6EBE7" w14:textId="77777777" w:rsidR="00A81CF0" w:rsidRPr="00051B77" w:rsidRDefault="00A81CF0" w:rsidP="00051B77">
      <w:pPr>
        <w:pStyle w:val="ListParagraph"/>
        <w:numPr>
          <w:ilvl w:val="3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după textul „asociate externalizării,” se completează cu textul „notificarea prealabilă,”;</w:t>
      </w:r>
    </w:p>
    <w:p w14:paraId="7B54C825" w14:textId="7685986C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</w:t>
      </w:r>
      <w:r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pct. 2 textul „(Legea nr. 92/2022)” se substitui</w:t>
      </w:r>
      <w:r w:rsidR="00DF209E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e</w:t>
      </w:r>
      <w:r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cu textul „(în continuare – Legea nr. 92/2022)”;</w:t>
      </w:r>
    </w:p>
    <w:p w14:paraId="7E8F1B5D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 completează cu subpunctele  12.4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, 12.4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2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și 12.4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3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cu următorul cuprins: </w:t>
      </w:r>
    </w:p>
    <w:p w14:paraId="5319BC97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”12.4.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1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clauzele și condițiile, dacă este cazul, în temeiul cărora furnizorul poate subcontracta la rândul său oricare dintre </w:t>
      </w:r>
      <w:bookmarkStart w:id="0" w:name="_Hlk212025652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funcțiile și activitățile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bookmarkEnd w:id="0"/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;”;</w:t>
      </w:r>
    </w:p>
    <w:p w14:paraId="1D64C5CC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hAnsi="Times New Roman" w:cs="Times New Roman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12.4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2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asigurarea faptului că sarcinile și responsabilitățile furnizorului care decurg din contractul încheiat cu societatea de asigurare nu sunt afectate în cazul subcontractării efectuate în conformitate cu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subpct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. 12.4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3E04EDE3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12.4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3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supravegherea serviciilor subcontractate</w:t>
      </w:r>
      <w:bookmarkStart w:id="1" w:name="_Hlk225858470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 către societatea de asigurare </w:t>
      </w:r>
      <w:bookmarkEnd w:id="1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pentru a se asigura că toate obligațiile contractuale sunt îndeplinite în permanență;”</w:t>
      </w:r>
    </w:p>
    <w:p w14:paraId="5E2701F1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Se completează cu subpunctul 12.8.2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1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cu următorul cuprins: </w:t>
      </w:r>
    </w:p>
    <w:p w14:paraId="19826AA5" w14:textId="77777777" w:rsidR="00A81CF0" w:rsidRPr="00051B77" w:rsidRDefault="00A81CF0" w:rsidP="00051B77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</w:t>
      </w:r>
      <w:bookmarkStart w:id="2" w:name="_Hlk212212055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12.8.2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de a solicita acordul prealabil al societății de asigurare pentru subcontractarea activităților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bookmarkEnd w:id="2"/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”.</w:t>
      </w:r>
    </w:p>
    <w:p w14:paraId="3B420B97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Se completează cu </w:t>
      </w:r>
      <w:bookmarkStart w:id="3" w:name="_Hlk210200196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Capitolul II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1 </w:t>
      </w:r>
      <w:bookmarkEnd w:id="3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cu următorul cuprins:</w:t>
      </w:r>
    </w:p>
    <w:p w14:paraId="6FC37CEA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</w:t>
      </w:r>
      <w:r w:rsidRPr="00051B77">
        <w:rPr>
          <w:rFonts w:ascii="Times New Roman" w:hAnsi="Times New Roman" w:cs="Times New Roman"/>
        </w:rPr>
        <w:t xml:space="preserve"> 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Capitolul II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</w:p>
    <w:p w14:paraId="399C0DC7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NOTIFICAREA PREALABILĂ A EXTERNALIZĂRII</w:t>
      </w:r>
    </w:p>
    <w:p w14:paraId="32C94D02" w14:textId="2CD7871E" w:rsidR="00A81CF0" w:rsidRPr="00051B77" w:rsidRDefault="00A81CF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lastRenderedPageBreak/>
        <w:t>15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 xml:space="preserve">.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Societatea de asigurare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externalizează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funcţii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sau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bookmarkStart w:id="4" w:name="_Hlk225844878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inclusiv subcontractează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(externalizare în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lanţ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),</w:t>
      </w:r>
      <w:bookmarkEnd w:id="4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doar după notificarea  prealabilă a Băncii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Naţionale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Moldovei, conform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cerinţelor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stabilite în prezentul Regulament. Notificarea prealabilă se extinde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asupra modificărilor contractelor de externalizare, inclusiv celor subcontractate.</w:t>
      </w:r>
    </w:p>
    <w:p w14:paraId="6F9C04AA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15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2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Societatea de asigurare depune la Banca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Naţională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Moldovei notificarea prealabilă la care anexează documentele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informaţiile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prevăzute la pct. 17, în modul corespunzător.</w:t>
      </w:r>
    </w:p>
    <w:p w14:paraId="4F6BDDC6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15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3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Pentru furnizor – persoană fizică, societatea de asigurare prezintă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informaţii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care să cuprindă cel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puţin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: numele, prenumele, IDNP; adresa de domiciliu/adresa de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desfăşurare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serviciilor, certificatul de calificare al actuarului,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informaţii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documente privind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pentru ultimii 5 ani, documentul care atestă că persoana nu are antecedente penale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nu este dată în căutare sau se află sub urmărire penală.</w:t>
      </w:r>
    </w:p>
    <w:p w14:paraId="7827E40C" w14:textId="77777777" w:rsidR="00A81CF0" w:rsidRPr="00051B77" w:rsidRDefault="00A81CF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15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4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Pentru notificarea prealabilă 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prevederile pct. 18 se aplică în modul corespunzător.”.</w:t>
      </w:r>
    </w:p>
    <w:p w14:paraId="2D648883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Denumirea Capitolului III se completează cu textul ”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FUNCȚIILOR SAU ACTIVITĂȚILOR LEGATE DE TEHNOLOGIILE INFORMAŢIEI ŞI COMUNICAŢIILOR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”;</w:t>
      </w:r>
    </w:p>
    <w:p w14:paraId="04D5CFA7" w14:textId="63674F48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Pe tot parcursul Capitolului III, cu excepția punctului 16 și subpunctului 17.3, sintagma „funcției sau activității” la orice formă gramaticală se completează cu abrevierea „TIC”;</w:t>
      </w:r>
    </w:p>
    <w:p w14:paraId="198BE6C7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 punctul 16: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ab/>
      </w:r>
    </w:p>
    <w:p w14:paraId="2721211C" w14:textId="77777777" w:rsidR="00A81CF0" w:rsidRPr="00051B77" w:rsidRDefault="00A81CF0" w:rsidP="00051B77">
      <w:pPr>
        <w:pStyle w:val="ListParagraph"/>
        <w:numPr>
          <w:ilvl w:val="3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cuvintele „funcții sau activități” se substituie cu textul „legate de tehnologiile informației și comunicațiilor (în continuare – funcții și activități TIC)”;</w:t>
      </w:r>
    </w:p>
    <w:p w14:paraId="3CFFE738" w14:textId="77777777" w:rsidR="00A81CF0" w:rsidRPr="00051B77" w:rsidRDefault="00A81CF0" w:rsidP="00051B77">
      <w:pPr>
        <w:pStyle w:val="ListParagraph"/>
        <w:numPr>
          <w:ilvl w:val="3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prima propoziție se completează cu textul „ ,</w:t>
      </w:r>
      <w:r w:rsidRPr="00051B77">
        <w:rPr>
          <w:rFonts w:ascii="Times New Roman" w:hAnsi="Times New Roman" w:cs="Times New Roman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pct.38-39, în modul corespunzător,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 pct.40-41, după caz.”. </w:t>
      </w:r>
    </w:p>
    <w:p w14:paraId="40562417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subpunctul 17.3  sintagma „a acestei” se exclude, după cuvintele „sau activității” se completează cu abrevierea „TIC” și după cuvintele „sau activități” se completează cu cuvintele „TIC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”;</w:t>
      </w:r>
    </w:p>
    <w:p w14:paraId="43B34A8A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Subpunctul 17.6 se abrogă;  </w:t>
      </w:r>
    </w:p>
    <w:p w14:paraId="503F7536" w14:textId="19834EF0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punctul 18 după cuvintele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societate” și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societății” se completează cu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de asigurare”;</w:t>
      </w:r>
    </w:p>
    <w:p w14:paraId="2D8073BB" w14:textId="5D781B43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Punctul 26 se completează cu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, inclusiv externalizării în lanț.”;</w:t>
      </w:r>
    </w:p>
    <w:p w14:paraId="33E4A1FA" w14:textId="63BABD84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subpunctul 27.2.5 după cuvântul ”externalizare” se completează cu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/externalizare în lanț”;</w:t>
      </w:r>
    </w:p>
    <w:p w14:paraId="6526D3E0" w14:textId="00FB46E8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subpunctul 27.3 după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externalizare” se completează cu textul 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/externalizare în lanț”;</w:t>
      </w:r>
    </w:p>
    <w:p w14:paraId="1D9B3356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 subpunctul 27.5 după cuvântul ”externalizare” se completează cu textul ”, după caz, externalizarea în lanț”;</w:t>
      </w:r>
    </w:p>
    <w:p w14:paraId="660D207D" w14:textId="094C322E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subpunctul 28.1 după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externalizare” se completează cu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hAnsi="Times New Roman" w:cs="Times New Roman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/contract de externalizare în lanț”;</w:t>
      </w:r>
    </w:p>
    <w:p w14:paraId="20A448BC" w14:textId="34714944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subpunctul 28.3.1 după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furnizorului” se completează cu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după caz,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subfurnizorului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,”;</w:t>
      </w:r>
    </w:p>
    <w:p w14:paraId="5987084C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Punctul 29 va avea următorul cuprins:</w:t>
      </w:r>
    </w:p>
    <w:p w14:paraId="2C5627B3" w14:textId="77777777" w:rsidR="00A81CF0" w:rsidRPr="00051B77" w:rsidRDefault="00A81CF0" w:rsidP="00051B77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</w:t>
      </w:r>
      <w:r w:rsidRPr="001E7552">
        <w:rPr>
          <w:rFonts w:ascii="Times New Roman" w:eastAsia="Times New Roman" w:hAnsi="Times New Roman" w:cs="Times New Roman"/>
          <w:sz w:val="24"/>
          <w:szCs w:val="24"/>
          <w:lang w:eastAsia="ro-MD"/>
        </w:rPr>
        <w:t>29.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Auditul intern periodic evaluează actualitatea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caracterul adecvat al reglementărilor interne, al Politicii de externalizare, al proceselor și procedurilor corespunzătoare, inclusiv procesul de gestionare a riscurilor asociate externalizării/ externalizării în lanț.”.</w:t>
      </w:r>
    </w:p>
    <w:p w14:paraId="003DBA93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Se completează cu Capitolul IV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cu următorul cuprins:</w:t>
      </w:r>
    </w:p>
    <w:p w14:paraId="5B2B43E3" w14:textId="77777777" w:rsidR="00A81CF0" w:rsidRPr="00051B77" w:rsidRDefault="00A81CF0" w:rsidP="00051B77">
      <w:pPr>
        <w:pStyle w:val="ListParagraph"/>
        <w:tabs>
          <w:tab w:val="left" w:pos="851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Capitolul IV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1</w:t>
      </w:r>
    </w:p>
    <w:p w14:paraId="25D834EF" w14:textId="77777777" w:rsidR="00A81CF0" w:rsidRPr="00051B77" w:rsidRDefault="00A81CF0" w:rsidP="00051B77">
      <w:pPr>
        <w:pStyle w:val="ListParagraph"/>
        <w:tabs>
          <w:tab w:val="left" w:pos="851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EXTERNALIZAREA ÎN LANȚ</w:t>
      </w:r>
    </w:p>
    <w:p w14:paraId="7273720A" w14:textId="77777777" w:rsidR="00A81CF0" w:rsidRPr="00051B77" w:rsidRDefault="00A81CF0" w:rsidP="00051B77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 Societatea de asigurare evaluează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administrează riscurile asociate unei externalizări în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lanţ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.</w:t>
      </w:r>
    </w:p>
    <w:p w14:paraId="51EAD2D5" w14:textId="77777777" w:rsidR="00A81CF0" w:rsidRPr="00051B77" w:rsidRDefault="00A81CF0" w:rsidP="00051B77">
      <w:pPr>
        <w:pStyle w:val="ListParagraph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2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Societatea de asigurare poate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consimţi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 o externalizare în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lanţ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doar dacă subcontractorul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îşi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asumă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aceleaşi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obligaţii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cele stabilite în sarcina furnizorului, inclusiv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obligaţiile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în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relaţia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cu Banca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Naţională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Moldovei.</w:t>
      </w:r>
    </w:p>
    <w:p w14:paraId="38A7101E" w14:textId="77777777" w:rsidR="00A81CF0" w:rsidRPr="00051B77" w:rsidRDefault="00A81CF0" w:rsidP="00051B77">
      <w:pPr>
        <w:pStyle w:val="ListParagraph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lastRenderedPageBreak/>
        <w:t>31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3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Externalizarea în lanț  este permisă doar cu acordul prealabil al societății de asigurare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în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aceleaşi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condiţii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externalizarea funcțiilor și activităților către furnizor.</w:t>
      </w:r>
    </w:p>
    <w:p w14:paraId="7C222776" w14:textId="77777777" w:rsidR="00A81CF0" w:rsidRPr="00051B77" w:rsidRDefault="00A81CF0" w:rsidP="00051B77">
      <w:pPr>
        <w:pStyle w:val="ListParagraph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4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 Societatea de asigurare revizuiește externalizarea în lanț a activităților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pentru a se asigura că riscul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operaţional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alte riscuri nu se majorează în urma metodelor inadecvate de control sau a altor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deficienţe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ale furnizorului care preia funcțiile și activitățile respective.</w:t>
      </w:r>
    </w:p>
    <w:p w14:paraId="4550CE88" w14:textId="77777777" w:rsidR="00A81CF0" w:rsidRPr="00051B77" w:rsidRDefault="00A81CF0" w:rsidP="00051B77">
      <w:pPr>
        <w:pStyle w:val="ListParagraph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5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Societatea de asigurare ia măsurile corespunzătoare cu privire la riscurile asociate neîndeplinirii sau îndeplinirii necorespunzătoare a funcțiilor și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în lanț, care au un impact negativ asupra capacități furnizorului de a-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respecta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obligaţiile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asumate prin contract.</w:t>
      </w:r>
    </w:p>
    <w:p w14:paraId="48100A34" w14:textId="77777777" w:rsidR="00A81CF0" w:rsidRPr="00051B77" w:rsidRDefault="00A81CF0" w:rsidP="00051B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31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6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.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Prevederile pct. 25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subpct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. 5) din Regulamentul cu privire la auditul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societăţilor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 asigurare sau de reasigurare, aprobat prin Hotărârea Comitetului executiv al Băncii Naționale a Moldovei nr. 71/2024, se aplică în modul corespunzător externalizării în lanț a activităților, inclusiv capacitatea furnizorilor subcontractați  (financiară, tehnologică, organizatorică etc.), pentru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desfăşurarea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calitativă, sigură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continuă 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.”</w:t>
      </w:r>
    </w:p>
    <w:p w14:paraId="2A643BB8" w14:textId="2552137B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denumirea Capitolului V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NOTIFICAREA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” se substituie cu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INFORMAREA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”;</w:t>
      </w:r>
    </w:p>
    <w:p w14:paraId="6253B89D" w14:textId="286D29FB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punctul 32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notifică” se substituie cu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informează”;</w:t>
      </w:r>
    </w:p>
    <w:p w14:paraId="40DE56C5" w14:textId="62750CFA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denumirea Capitolului VI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TEHNOLOGIEI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” se substituie cu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hAnsi="Times New Roman" w:cs="Times New Roman"/>
        </w:rPr>
        <w:t xml:space="preserve"> </w:t>
      </w:r>
      <w:r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FUNCȚIILOR SAU ACTIVITĂȚILOR LEGATE DE TEHNOLOGIILE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”;</w:t>
      </w:r>
    </w:p>
    <w:p w14:paraId="2CB3A773" w14:textId="08827251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punctul 35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tehnologia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informaţiei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comunicaţiilor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(TIC)” se substituie cu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funcțiile sau activitățile legate de tehnologiile informației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comunicaţiilor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(în continuare -TIC).”;</w:t>
      </w:r>
    </w:p>
    <w:p w14:paraId="032B9F21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Punctul 36 se abrogă;</w:t>
      </w:r>
    </w:p>
    <w:p w14:paraId="3B8458E1" w14:textId="2B94C65A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La punctul 37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Notificarea” se substituie cu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Informarea”;</w:t>
      </w:r>
    </w:p>
    <w:p w14:paraId="5F5289CE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Se completează cu punctul 37</w:t>
      </w:r>
      <w:r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bookmarkStart w:id="5" w:name="_Hlk231999091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cu următorul cuprins</w:t>
      </w:r>
      <w:bookmarkEnd w:id="5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:</w:t>
      </w:r>
    </w:p>
    <w:p w14:paraId="7C7D7B0D" w14:textId="058A407E" w:rsidR="00A81CF0" w:rsidRPr="00051B77" w:rsidRDefault="00FB3670" w:rsidP="00051B77">
      <w:pPr>
        <w:pStyle w:val="ListParagraph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="00A81CF0"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37.</w:t>
      </w:r>
      <w:r w:rsidR="00A81CF0" w:rsidRPr="00051B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o-MD"/>
        </w:rPr>
        <w:t>1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În cazul externalizării TIC în </w:t>
      </w:r>
      <w:proofErr w:type="spellStart"/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lanţ</w:t>
      </w:r>
      <w:proofErr w:type="spellEnd"/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, societatea de asigurare se va conforma prevederilor pct.31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1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- 31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MD"/>
        </w:rPr>
        <w:t>6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, în modul corespunzător.”</w:t>
      </w:r>
    </w:p>
    <w:p w14:paraId="74E68C0B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În Anexă:</w:t>
      </w:r>
    </w:p>
    <w:p w14:paraId="4B97789B" w14:textId="505A2B58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în coloana 8 din tabel după cuvântul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Data” se completează cu textul </w:t>
      </w:r>
      <w:r w:rsidR="00FB367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notificării prealabile/”;</w:t>
      </w:r>
    </w:p>
    <w:p w14:paraId="0CFAC0D5" w14:textId="77777777" w:rsidR="00A81CF0" w:rsidRPr="00051B77" w:rsidRDefault="00A81CF0" w:rsidP="00051B77">
      <w:pPr>
        <w:pStyle w:val="ListParagraph"/>
        <w:numPr>
          <w:ilvl w:val="2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Modul de întocmire a Raportului privind funcțiile și activitățile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externalizate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de către societățile de asigurare sau de reasigurare:</w:t>
      </w:r>
    </w:p>
    <w:p w14:paraId="0AC45BC9" w14:textId="77777777" w:rsidR="00A81CF0" w:rsidRPr="00051B77" w:rsidRDefault="00A81CF0" w:rsidP="00051B77">
      <w:pPr>
        <w:pStyle w:val="ListParagraph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punctul 11 va avea următorul cuprins:</w:t>
      </w:r>
    </w:p>
    <w:p w14:paraId="2A01EE89" w14:textId="2E3DAF54" w:rsidR="00A81CF0" w:rsidRPr="00051B77" w:rsidRDefault="00FB367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11.</w:t>
      </w:r>
      <w:r w:rsidR="00A81CF0" w:rsidRPr="00051B77">
        <w:rPr>
          <w:rFonts w:ascii="Times New Roman" w:hAnsi="Times New Roman" w:cs="Times New Roman"/>
        </w:rPr>
        <w:t xml:space="preserve"> 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coloana 8 se indică data notificării prealabile / aprobării prealabile a Băncii </w:t>
      </w:r>
      <w:proofErr w:type="spellStart"/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Naţionale</w:t>
      </w:r>
      <w:proofErr w:type="spellEnd"/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Moldovei pentru externalizarea funcțiilor sau activităților.”;</w:t>
      </w:r>
    </w:p>
    <w:p w14:paraId="2728C04F" w14:textId="77777777" w:rsidR="00A81CF0" w:rsidRPr="00051B77" w:rsidRDefault="00A81CF0" w:rsidP="00051B77">
      <w:pPr>
        <w:pStyle w:val="ListParagraph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Se completează cu punctul 13 cu următorul cuprins: </w:t>
      </w:r>
    </w:p>
    <w:p w14:paraId="61665590" w14:textId="0F7BF39F" w:rsidR="00A81CF0" w:rsidRPr="00051B77" w:rsidRDefault="00FB3670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="00A81CF0" w:rsidRPr="00051B77">
        <w:rPr>
          <w:rFonts w:ascii="Times New Roman" w:eastAsia="Times New Roman" w:hAnsi="Times New Roman" w:cs="Times New Roman"/>
          <w:b/>
          <w:bCs/>
          <w:sz w:val="24"/>
          <w:szCs w:val="24"/>
          <w:lang w:eastAsia="ro-MD"/>
        </w:rPr>
        <w:t>13.</w:t>
      </w:r>
      <w:r w:rsidR="00A81CF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În coloanele 1 – 7 se vor indica datele furnizorilor până la ultimul în lanț.”.</w:t>
      </w:r>
    </w:p>
    <w:p w14:paraId="5513363C" w14:textId="77777777" w:rsidR="00A81CF0" w:rsidRPr="00051B77" w:rsidRDefault="00A81CF0" w:rsidP="00051B77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</w:p>
    <w:p w14:paraId="15039E8C" w14:textId="5EDCBB88" w:rsidR="0010756E" w:rsidRPr="00051B77" w:rsidRDefault="0010756E" w:rsidP="00051B77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Regulamentul </w:t>
      </w:r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privind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cerinţele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faţă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de persoanele cu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funcţie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de conducere, membrii comitetului de audit, persoanele care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deţin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funcţii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-cheie în cadrul asigurătorului sau al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reasigurătorului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, conducătorii sucursalei unui asigurător sau a unui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reasigurător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din statul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terţ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şi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faţă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de lichidatorul asigurătorului sau al </w:t>
      </w:r>
      <w:proofErr w:type="spellStart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reasigurătorului</w:t>
      </w:r>
      <w:proofErr w:type="spellEnd"/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în proces de lichidare</w:t>
      </w:r>
      <w:r w:rsidR="00CF4C42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,</w:t>
      </w:r>
      <w:r w:rsidR="00FD7FB8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 xml:space="preserve">aprobat prin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Hotărârea </w:t>
      </w:r>
      <w:r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Comisiei Naționale a Pieței Financiare nr. 26/2/2023 (Monitorul Oficial al Republicii Moldova, 2023, nr. 208-209 art. 598), înregistrată la Ministerul Justiției al Republicii Moldova cu nr. 1799 din 21 iunie 2023, se modifică după cum urmează:</w:t>
      </w:r>
    </w:p>
    <w:p w14:paraId="570BE022" w14:textId="1668AB5C" w:rsidR="004E56FC" w:rsidRPr="00051B77" w:rsidRDefault="004E56FC" w:rsidP="00BA7EC8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 punctul 14 subpunctul 2) textul „înaintării” se substituie cu textul „alegerii”</w:t>
      </w:r>
      <w:r w:rsidR="007F2B83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4300364" w14:textId="2DFC59B9" w:rsidR="008C3AC9" w:rsidRPr="00051B77" w:rsidRDefault="008C3AC9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 punctul 44 după textul „subpunctele 2)” se completează cu textul „</w:t>
      </w:r>
      <w:r w:rsidR="007F2B83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,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5)”</w:t>
      </w:r>
      <w:r w:rsidR="007F2B83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0771D11F" w14:textId="3C7FE874" w:rsidR="00E426EC" w:rsidRPr="00051B77" w:rsidRDefault="00E426EC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La punctul 51:</w:t>
      </w:r>
    </w:p>
    <w:p w14:paraId="7B75C370" w14:textId="277A6A9A" w:rsidR="00C631F9" w:rsidRPr="00051B77" w:rsidRDefault="001F426E" w:rsidP="00051B77">
      <w:pPr>
        <w:pStyle w:val="ListParagraph"/>
        <w:numPr>
          <w:ilvl w:val="2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î</w:t>
      </w:r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n prima propoziție, </w:t>
      </w:r>
      <w:bookmarkStart w:id="6" w:name="_Hlk211600242"/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textul „</w:t>
      </w:r>
      <w:bookmarkEnd w:id="6"/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punctul</w:t>
      </w:r>
      <w:r w:rsidR="00E426EC"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5 subpunctul 1) </w:t>
      </w:r>
      <w:proofErr w:type="spellStart"/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cele </w:t>
      </w:r>
      <w:proofErr w:type="spellStart"/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menţionate</w:t>
      </w:r>
      <w:proofErr w:type="spellEnd"/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 punctul 5 subpunctele 2) – 6)” se substituie cu textul „</w:t>
      </w:r>
      <w:bookmarkStart w:id="7" w:name="_Hlk216160406"/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punctul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5 subpunct</w:t>
      </w:r>
      <w:r w:rsidR="0094410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l</w:t>
      </w:r>
      <w:r w:rsidR="0094410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1)</w:t>
      </w:r>
      <w:r w:rsidR="0094410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2), 3), 5) </w:t>
      </w:r>
      <w:r w:rsidR="00944106" w:rsidRPr="00051B77">
        <w:rPr>
          <w:rFonts w:ascii="Times New Roman" w:eastAsia="Times New Roman" w:hAnsi="Times New Roman" w:cs="Times New Roman"/>
          <w:sz w:val="24"/>
          <w:szCs w:val="24"/>
          <w:lang w:val="ro-RO" w:eastAsia="ro-MD"/>
        </w:rPr>
        <w:t>ș</w:t>
      </w:r>
      <w:r w:rsidR="0094410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 6)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="007F2B83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, respectiv,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cele </w:t>
      </w:r>
      <w:proofErr w:type="spellStart"/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menţionate</w:t>
      </w:r>
      <w:proofErr w:type="spellEnd"/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la punctul 5 subpunct</w:t>
      </w:r>
      <w:r w:rsidR="0094410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ul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94410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4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)</w:t>
      </w:r>
      <w:bookmarkEnd w:id="7"/>
      <w:r w:rsidR="007F2B83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</w:t>
      </w:r>
      <w:r w:rsidR="00E426E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  <w:r w:rsidR="00C631F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</w:p>
    <w:p w14:paraId="7D3B4EAE" w14:textId="3280051A" w:rsidR="00E426EC" w:rsidRPr="00051B77" w:rsidRDefault="00E426EC" w:rsidP="00051B77">
      <w:pPr>
        <w:pStyle w:val="ListParagraph"/>
        <w:numPr>
          <w:ilvl w:val="2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în subpunctul 1)</w:t>
      </w:r>
      <w:r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textul „în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entităţile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din sectorul financiar” se </w:t>
      </w:r>
      <w:r w:rsidR="00200D7F">
        <w:rPr>
          <w:rFonts w:ascii="Times New Roman" w:eastAsia="Times New Roman" w:hAnsi="Times New Roman" w:cs="Times New Roman"/>
          <w:sz w:val="24"/>
          <w:szCs w:val="24"/>
          <w:lang w:eastAsia="ro-MD"/>
        </w:rPr>
        <w:t>exclude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  <w:r w:rsidR="004A5DF8" w:rsidRPr="0005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C6E9C" w14:textId="4FB4C50D" w:rsidR="00877579" w:rsidRPr="00051B77" w:rsidRDefault="00877579" w:rsidP="00051B77">
      <w:pPr>
        <w:pStyle w:val="ListParagraph"/>
        <w:numPr>
          <w:ilvl w:val="2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lastRenderedPageBreak/>
        <w:t xml:space="preserve">în subpunctul 2) </w:t>
      </w:r>
      <w:r w:rsidR="000579E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cuvântul </w:t>
      </w:r>
      <w:r w:rsidR="000124A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„extern” se exclude, iar textul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="00F84D5F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calitate de </w:t>
      </w:r>
      <w:proofErr w:type="spellStart"/>
      <w:r w:rsidR="00F84D5F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F84D5F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sau </w:t>
      </w:r>
      <w:proofErr w:type="spellStart"/>
      <w:r w:rsidR="00F84D5F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F84D5F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adjunct al sucursalei</w:t>
      </w:r>
      <w:r w:rsidR="007F2B83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asigurătorului din statul terț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 se substituie cu textul „</w:t>
      </w:r>
      <w:bookmarkStart w:id="8" w:name="_Hlk216160718"/>
      <w:r w:rsidR="001F426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într-o funcție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managerială în cadrul</w:t>
      </w:r>
      <w:bookmarkEnd w:id="8"/>
      <w:r w:rsidR="004A5DF8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”</w:t>
      </w:r>
      <w:r w:rsidR="004A5DF8" w:rsidRPr="00051B77">
        <w:rPr>
          <w:rFonts w:ascii="Times New Roman" w:hAnsi="Times New Roman" w:cs="Times New Roman"/>
          <w:sz w:val="24"/>
          <w:szCs w:val="24"/>
        </w:rPr>
        <w:t>;</w:t>
      </w:r>
    </w:p>
    <w:p w14:paraId="4DC7B369" w14:textId="64F85DEF" w:rsidR="00B9475C" w:rsidRPr="00051B77" w:rsidRDefault="002C12A9" w:rsidP="00051B77">
      <w:pPr>
        <w:pStyle w:val="ListParagraph"/>
        <w:numPr>
          <w:ilvl w:val="2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bookmarkStart w:id="9" w:name="_Hlk211610826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</w:t>
      </w:r>
      <w:bookmarkEnd w:id="9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subpunctul </w:t>
      </w:r>
      <w:r w:rsidR="00D701C2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4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r w:rsidR="000579E0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cuvântul </w:t>
      </w:r>
      <w:r w:rsidR="000124AC" w:rsidRPr="000124AC">
        <w:rPr>
          <w:rFonts w:ascii="Times New Roman" w:eastAsia="Times New Roman" w:hAnsi="Times New Roman" w:cs="Times New Roman"/>
          <w:sz w:val="24"/>
          <w:szCs w:val="24"/>
          <w:lang w:eastAsia="ro-MD"/>
        </w:rPr>
        <w:t>„extern”</w:t>
      </w:r>
      <w:r w:rsidR="000124AC">
        <w:rPr>
          <w:rFonts w:ascii="Times New Roman" w:eastAsia="Times New Roman" w:hAnsi="Times New Roman" w:cs="Times New Roman"/>
          <w:sz w:val="24"/>
          <w:szCs w:val="24"/>
          <w:lang w:eastAsia="ro-MD"/>
        </w:rPr>
        <w:t>,</w:t>
      </w:r>
      <w:r w:rsidR="000124AC" w:rsidRPr="000124A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0124AC">
        <w:rPr>
          <w:rFonts w:ascii="Times New Roman" w:eastAsia="Times New Roman" w:hAnsi="Times New Roman" w:cs="Times New Roman"/>
          <w:sz w:val="24"/>
          <w:szCs w:val="24"/>
          <w:lang w:eastAsia="ro-MD"/>
        </w:rPr>
        <w:t>textul</w:t>
      </w:r>
      <w:r w:rsidR="000124AC" w:rsidRPr="000124AC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="00430400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și </w:t>
      </w:r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după caz, contabil-</w:t>
      </w:r>
      <w:proofErr w:type="spellStart"/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/sau director financiar al sucursalei asigurătorului din statul </w:t>
      </w:r>
      <w:proofErr w:type="spellStart"/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terţ</w:t>
      </w:r>
      <w:proofErr w:type="spellEnd"/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” </w:t>
      </w:r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și textul „în calitate de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sau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adjunct al unei subdiviziuni antrenate în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desfăşurarea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unor astfel de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/sau” </w:t>
      </w:r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se </w:t>
      </w:r>
      <w:proofErr w:type="spellStart"/>
      <w:r w:rsidR="00B9475C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exlude</w:t>
      </w:r>
      <w:proofErr w:type="spellEnd"/>
      <w:r w:rsidR="002B65C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661500C6" w14:textId="7EEA8BC8" w:rsidR="002C12A9" w:rsidRPr="00051B77" w:rsidRDefault="00B9475C" w:rsidP="00051B77">
      <w:pPr>
        <w:pStyle w:val="ListParagraph"/>
        <w:numPr>
          <w:ilvl w:val="2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</w:t>
      </w:r>
      <w:r w:rsidR="00D701C2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subpunctul </w:t>
      </w:r>
      <w:r w:rsidR="006E5C37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6</w:t>
      </w:r>
      <w:r w:rsidR="00D701C2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r w:rsidR="000F3CB8" w:rsidRPr="000F3CB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textul </w:t>
      </w:r>
      <w:proofErr w:type="spellStart"/>
      <w:r w:rsidR="000F3CB8" w:rsidRPr="000F3CB8">
        <w:rPr>
          <w:rFonts w:ascii="Times New Roman" w:eastAsia="Times New Roman" w:hAnsi="Times New Roman" w:cs="Times New Roman"/>
          <w:sz w:val="24"/>
          <w:szCs w:val="24"/>
          <w:lang w:eastAsia="ro-MD"/>
        </w:rPr>
        <w:t>textul</w:t>
      </w:r>
      <w:proofErr w:type="spellEnd"/>
      <w:r w:rsidR="000F3CB8" w:rsidRPr="000F3CB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„1 an” se substituie cu textul „2 ani”</w:t>
      </w:r>
      <w:r w:rsidR="000F3CB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și</w:t>
      </w:r>
      <w:r w:rsidR="000F3CB8" w:rsidRPr="000F3CB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565583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textul</w:t>
      </w:r>
      <w:r w:rsidR="002C12A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„</w:t>
      </w:r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calitate de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sau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adjunct al unei subdiviziuni antrenate în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desfăşurarea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unor astfel de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activităţi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/sau</w:t>
      </w:r>
      <w:r w:rsidR="002C12A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” se </w:t>
      </w:r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exclude</w:t>
      </w:r>
      <w:r w:rsidR="002C12A9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  <w:r w:rsidR="004A5DF8" w:rsidRPr="0005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1C7D4" w14:textId="148E60EB" w:rsidR="00D701C2" w:rsidRPr="00051B77" w:rsidRDefault="00D701C2" w:rsidP="00051B77">
      <w:pPr>
        <w:pStyle w:val="ListParagraph"/>
        <w:numPr>
          <w:ilvl w:val="2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bookmarkStart w:id="10" w:name="_Hlk211604851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subpunctul </w:t>
      </w:r>
      <w:r w:rsidR="006E5C37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8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r w:rsidR="001F426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și 9) </w:t>
      </w:r>
      <w:r w:rsidR="000F3CB8" w:rsidRPr="000F3CB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textul „1 an” se substituie cu textul „2 ani” </w:t>
      </w:r>
      <w:r w:rsidR="000F3CB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și </w:t>
      </w:r>
      <w:r w:rsidR="006E5C37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textul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în calitate de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sau </w:t>
      </w:r>
      <w:proofErr w:type="spellStart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şef</w:t>
      </w:r>
      <w:proofErr w:type="spellEnd"/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adjunct al unei subdiviziuni</w:t>
      </w:r>
      <w:r w:rsidR="002B65C6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și/sau”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se </w:t>
      </w:r>
      <w:r w:rsidR="003362BE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exclude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bookmarkEnd w:id="10"/>
    <w:p w14:paraId="05616041" w14:textId="070ACE4F" w:rsidR="00AC15AF" w:rsidRDefault="00AC15AF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punctul 55 după textul </w:t>
      </w:r>
      <w:r w:rsidR="002568AD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 w:rsidRPr="00AC15AF">
        <w:rPr>
          <w:rFonts w:ascii="Times New Roman" w:hAnsi="Times New Roman" w:cs="Times New Roman"/>
          <w:sz w:val="24"/>
          <w:szCs w:val="24"/>
        </w:rPr>
        <w:t>vor ocupa o</w:t>
      </w:r>
      <w:r>
        <w:rPr>
          <w:rFonts w:ascii="Times New Roman" w:hAnsi="Times New Roman" w:cs="Times New Roman"/>
          <w:sz w:val="24"/>
          <w:szCs w:val="24"/>
        </w:rPr>
        <w:t xml:space="preserve">” se completează cu cuvântul </w:t>
      </w:r>
      <w:r w:rsidR="002568AD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>
        <w:rPr>
          <w:rFonts w:ascii="Times New Roman" w:hAnsi="Times New Roman" w:cs="Times New Roman"/>
          <w:sz w:val="24"/>
          <w:szCs w:val="24"/>
        </w:rPr>
        <w:t>singură”;</w:t>
      </w:r>
    </w:p>
    <w:p w14:paraId="11FE5E3E" w14:textId="3DE7EC4F" w:rsidR="00363191" w:rsidRDefault="00CD6BEC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Punctul 56 se exclude;</w:t>
      </w:r>
    </w:p>
    <w:p w14:paraId="54A53B9C" w14:textId="733E8FA1" w:rsidR="002568AD" w:rsidRDefault="002568AD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Punctul 65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la sfârși se completează cu textul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precum și cazierul judiciar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E2357E5" w14:textId="663D2749" w:rsidR="002568AD" w:rsidRPr="00051B77" w:rsidRDefault="002568AD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punctul 66 textul 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prin aplicarea semnăturii electronice calificate,” se exclude.</w:t>
      </w:r>
    </w:p>
    <w:p w14:paraId="318FE0F1" w14:textId="213DE6E4" w:rsidR="0013745A" w:rsidRPr="00051B77" w:rsidRDefault="0013745A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La punctul 68, </w:t>
      </w:r>
      <w:r w:rsidR="001F426E" w:rsidRPr="00051B77">
        <w:rPr>
          <w:rFonts w:ascii="Times New Roman" w:hAnsi="Times New Roman" w:cs="Times New Roman"/>
          <w:sz w:val="24"/>
          <w:szCs w:val="24"/>
        </w:rPr>
        <w:t>a doua propoziție</w:t>
      </w:r>
      <w:r w:rsidR="00EE049A">
        <w:rPr>
          <w:rFonts w:ascii="Times New Roman" w:hAnsi="Times New Roman" w:cs="Times New Roman"/>
          <w:sz w:val="24"/>
          <w:szCs w:val="24"/>
        </w:rPr>
        <w:t xml:space="preserve"> va avea</w:t>
      </w:r>
      <w:r w:rsidR="006E29C6">
        <w:rPr>
          <w:rFonts w:ascii="Times New Roman" w:hAnsi="Times New Roman" w:cs="Times New Roman"/>
          <w:sz w:val="24"/>
          <w:szCs w:val="24"/>
        </w:rPr>
        <w:t xml:space="preserve"> </w:t>
      </w:r>
      <w:r w:rsidR="00EE049A" w:rsidRPr="00EE049A">
        <w:rPr>
          <w:rFonts w:ascii="Times New Roman" w:hAnsi="Times New Roman" w:cs="Times New Roman"/>
          <w:sz w:val="24"/>
          <w:szCs w:val="24"/>
        </w:rPr>
        <w:t>următorul cuprins</w:t>
      </w:r>
      <w:r w:rsidR="006E29C6">
        <w:rPr>
          <w:rFonts w:ascii="Times New Roman" w:hAnsi="Times New Roman" w:cs="Times New Roman"/>
          <w:sz w:val="24"/>
          <w:szCs w:val="24"/>
        </w:rPr>
        <w:t>:</w:t>
      </w:r>
      <w:r w:rsidR="00C71C69">
        <w:rPr>
          <w:rFonts w:ascii="Times New Roman" w:hAnsi="Times New Roman" w:cs="Times New Roman"/>
          <w:sz w:val="24"/>
          <w:szCs w:val="24"/>
        </w:rPr>
        <w:t xml:space="preserve"> </w:t>
      </w:r>
      <w:r w:rsidR="006E29C6">
        <w:rPr>
          <w:rFonts w:ascii="Times New Roman" w:hAnsi="Times New Roman" w:cs="Times New Roman"/>
          <w:sz w:val="24"/>
          <w:szCs w:val="24"/>
        </w:rPr>
        <w:t>„</w:t>
      </w:r>
      <w:r w:rsidR="006E29C6" w:rsidRPr="006E29C6">
        <w:t xml:space="preserve"> </w:t>
      </w:r>
      <w:r w:rsidR="006E29C6" w:rsidRPr="006E29C6">
        <w:rPr>
          <w:rFonts w:ascii="Times New Roman" w:hAnsi="Times New Roman" w:cs="Times New Roman"/>
          <w:sz w:val="24"/>
          <w:szCs w:val="24"/>
        </w:rPr>
        <w:t xml:space="preserve">În cazul persoanelor prevăzute la punctul 5 subpunctul 1), interviurile sunt obligatorii, cu </w:t>
      </w:r>
      <w:proofErr w:type="spellStart"/>
      <w:r w:rsidR="006E29C6" w:rsidRPr="006E29C6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="006E29C6" w:rsidRPr="006E29C6">
        <w:rPr>
          <w:rFonts w:ascii="Times New Roman" w:hAnsi="Times New Roman" w:cs="Times New Roman"/>
          <w:sz w:val="24"/>
          <w:szCs w:val="24"/>
        </w:rPr>
        <w:t xml:space="preserve"> cazurilor menționate la pct. 68</w:t>
      </w:r>
      <w:r w:rsidR="006E29C6" w:rsidRPr="006E29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426E" w:rsidRPr="00051B77">
        <w:rPr>
          <w:rFonts w:ascii="Times New Roman" w:hAnsi="Times New Roman" w:cs="Times New Roman"/>
          <w:sz w:val="24"/>
          <w:szCs w:val="24"/>
        </w:rPr>
        <w:t>”</w:t>
      </w:r>
      <w:r w:rsidRPr="00051B77">
        <w:rPr>
          <w:rFonts w:ascii="Times New Roman" w:hAnsi="Times New Roman" w:cs="Times New Roman"/>
          <w:sz w:val="24"/>
          <w:szCs w:val="24"/>
        </w:rPr>
        <w:t>.</w:t>
      </w:r>
    </w:p>
    <w:p w14:paraId="5B621D16" w14:textId="7C327F6C" w:rsidR="00432D01" w:rsidRPr="00051B77" w:rsidRDefault="0032302C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hAnsi="Times New Roman" w:cs="Times New Roman"/>
          <w:sz w:val="24"/>
          <w:szCs w:val="24"/>
        </w:rPr>
        <w:t>Se completează cu punctul 68</w:t>
      </w:r>
      <w:r w:rsidRPr="00051B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51B77">
        <w:rPr>
          <w:rFonts w:ascii="Times New Roman" w:hAnsi="Times New Roman" w:cs="Times New Roman"/>
          <w:sz w:val="24"/>
          <w:szCs w:val="24"/>
        </w:rPr>
        <w:t xml:space="preserve"> cu următorul cuprins: „</w:t>
      </w:r>
      <w:r w:rsidR="006E29C6">
        <w:rPr>
          <w:rFonts w:ascii="Times New Roman" w:eastAsia="Times New Roman" w:hAnsi="Times New Roman" w:cs="Times New Roman"/>
          <w:sz w:val="24"/>
          <w:szCs w:val="24"/>
          <w:lang w:eastAsia="ro-MD"/>
        </w:rPr>
        <w:t>Î</w:t>
      </w:r>
      <w:r w:rsidR="00432D01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n cazul persoanelor prevăzute la punctul 5 subpunctul 1), interviurile nu sunt obligatorii dacă:</w:t>
      </w:r>
    </w:p>
    <w:p w14:paraId="5E02AC0F" w14:textId="551D6F10" w:rsidR="00432D01" w:rsidRPr="00051B77" w:rsidRDefault="00432D01" w:rsidP="00051B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1) urmare examinării documentelor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şi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informaţiilor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prezentate sau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recepţionate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în cadrul evaluării cererii, se consideră că acestea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conţin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elemente care să conducă la concluzia că persoana înaintată nu </w:t>
      </w:r>
      <w:r w:rsidR="00BF04FF">
        <w:rPr>
          <w:rFonts w:ascii="Times New Roman" w:eastAsia="Times New Roman" w:hAnsi="Times New Roman" w:cs="Times New Roman"/>
          <w:sz w:val="24"/>
          <w:szCs w:val="24"/>
          <w:lang w:eastAsia="ro-MD"/>
        </w:rPr>
        <w:t>corespunde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proofErr w:type="spellStart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cerinţelor</w:t>
      </w:r>
      <w:proofErr w:type="spellEnd"/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BF04FF">
        <w:rPr>
          <w:rFonts w:ascii="Times New Roman" w:eastAsia="Times New Roman" w:hAnsi="Times New Roman" w:cs="Times New Roman"/>
          <w:sz w:val="24"/>
          <w:szCs w:val="24"/>
          <w:lang w:eastAsia="ro-MD"/>
        </w:rPr>
        <w:t>de adecvare</w:t>
      </w:r>
      <w:r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20F6A5CC" w14:textId="04CB60BB" w:rsidR="0032302C" w:rsidRPr="00051B77" w:rsidRDefault="006E29C6" w:rsidP="00051B7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2</w:t>
      </w:r>
      <w:r w:rsidR="00432D01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) </w:t>
      </w:r>
      <w:r w:rsidR="00520F0A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persoana</w:t>
      </w:r>
      <w:r w:rsidR="00393B08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 w:rsidR="00520F0A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este înaintată pentru aprobare </w:t>
      </w:r>
      <w:r w:rsidR="00BF04FF">
        <w:rPr>
          <w:rFonts w:ascii="Times New Roman" w:eastAsia="Times New Roman" w:hAnsi="Times New Roman" w:cs="Times New Roman"/>
          <w:sz w:val="24"/>
          <w:szCs w:val="24"/>
          <w:lang w:eastAsia="ro-MD"/>
        </w:rPr>
        <w:t>în ace</w:t>
      </w:r>
      <w:r w:rsidR="00762F0F">
        <w:rPr>
          <w:rFonts w:ascii="Times New Roman" w:eastAsia="Times New Roman" w:hAnsi="Times New Roman" w:cs="Times New Roman"/>
          <w:sz w:val="24"/>
          <w:szCs w:val="24"/>
          <w:lang w:eastAsia="ro-MD"/>
        </w:rPr>
        <w:t>e</w:t>
      </w:r>
      <w:r w:rsidR="00BF04FF">
        <w:rPr>
          <w:rFonts w:ascii="Times New Roman" w:eastAsia="Times New Roman" w:hAnsi="Times New Roman" w:cs="Times New Roman"/>
          <w:sz w:val="24"/>
          <w:szCs w:val="24"/>
          <w:lang w:eastAsia="ro-MD"/>
        </w:rPr>
        <w:t>ași</w:t>
      </w:r>
      <w:r w:rsidR="00520F0A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funcție cu responsabilități similare</w:t>
      </w:r>
      <w:r w:rsidR="00C0587E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MD"/>
        </w:rPr>
        <w:t>în cadrul unui asigurător</w:t>
      </w:r>
      <w:r w:rsidR="00520F0A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, iar de la data ultimei aprobări a </w:t>
      </w:r>
      <w:r w:rsidR="00762F0F">
        <w:rPr>
          <w:rFonts w:ascii="Times New Roman" w:eastAsia="Times New Roman" w:hAnsi="Times New Roman" w:cs="Times New Roman"/>
          <w:sz w:val="24"/>
          <w:szCs w:val="24"/>
          <w:lang w:eastAsia="ro-MD"/>
        </w:rPr>
        <w:t>persoanei</w:t>
      </w:r>
      <w:r w:rsidR="00520F0A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 xml:space="preserve"> nu au trecut mai mult de 12 luni”</w:t>
      </w:r>
      <w:r w:rsidR="00263FD7" w:rsidRPr="00051B77">
        <w:rPr>
          <w:rFonts w:ascii="Times New Roman" w:eastAsia="Times New Roman" w:hAnsi="Times New Roman" w:cs="Times New Roman"/>
          <w:sz w:val="24"/>
          <w:szCs w:val="24"/>
          <w:lang w:eastAsia="ro-MD"/>
        </w:rPr>
        <w:t>;</w:t>
      </w:r>
    </w:p>
    <w:p w14:paraId="7FF380A8" w14:textId="31B1683B" w:rsidR="00907F3E" w:rsidRPr="00051B77" w:rsidRDefault="008C2270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Punctul 75 se exclude</w:t>
      </w:r>
      <w:r w:rsidR="00907F3E" w:rsidRPr="00051B77">
        <w:rPr>
          <w:rFonts w:ascii="Times New Roman" w:hAnsi="Times New Roman" w:cs="Times New Roman"/>
          <w:sz w:val="24"/>
          <w:szCs w:val="24"/>
        </w:rPr>
        <w:t>;</w:t>
      </w:r>
    </w:p>
    <w:p w14:paraId="675FF052" w14:textId="11385AF9" w:rsidR="00B66EE8" w:rsidRPr="00051B77" w:rsidRDefault="007D3147" w:rsidP="00051B77">
      <w:pPr>
        <w:pStyle w:val="ListParagraph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În </w:t>
      </w:r>
      <w:r w:rsidR="00B9475C" w:rsidRPr="00051B77">
        <w:rPr>
          <w:rFonts w:ascii="Times New Roman" w:hAnsi="Times New Roman" w:cs="Times New Roman"/>
          <w:sz w:val="24"/>
          <w:szCs w:val="24"/>
        </w:rPr>
        <w:t>A</w:t>
      </w:r>
      <w:r w:rsidRPr="00051B77">
        <w:rPr>
          <w:rFonts w:ascii="Times New Roman" w:hAnsi="Times New Roman" w:cs="Times New Roman"/>
          <w:sz w:val="24"/>
          <w:szCs w:val="24"/>
        </w:rPr>
        <w:t>nexa nr.1</w:t>
      </w:r>
      <w:r w:rsidR="007A0175" w:rsidRPr="00051B77">
        <w:rPr>
          <w:rFonts w:ascii="Times New Roman" w:hAnsi="Times New Roman" w:cs="Times New Roman"/>
          <w:sz w:val="24"/>
          <w:szCs w:val="24"/>
        </w:rPr>
        <w:t>:</w:t>
      </w:r>
      <w:r w:rsidRPr="0005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B767D" w14:textId="7845EC99" w:rsidR="0083765C" w:rsidRPr="00051B77" w:rsidRDefault="00535FB7" w:rsidP="00051B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>2</w:t>
      </w:r>
      <w:r w:rsidR="00CD36C5" w:rsidRPr="00051B77">
        <w:rPr>
          <w:rFonts w:ascii="Times New Roman" w:hAnsi="Times New Roman" w:cs="Times New Roman"/>
          <w:sz w:val="24"/>
          <w:szCs w:val="24"/>
        </w:rPr>
        <w:t>.</w:t>
      </w:r>
      <w:r w:rsidR="00AC10EE">
        <w:rPr>
          <w:rFonts w:ascii="Times New Roman" w:hAnsi="Times New Roman" w:cs="Times New Roman"/>
          <w:sz w:val="24"/>
          <w:szCs w:val="24"/>
        </w:rPr>
        <w:t>12</w:t>
      </w:r>
      <w:r w:rsidR="00CD36C5" w:rsidRPr="00051B77">
        <w:rPr>
          <w:rFonts w:ascii="Times New Roman" w:hAnsi="Times New Roman" w:cs="Times New Roman"/>
          <w:sz w:val="24"/>
          <w:szCs w:val="24"/>
        </w:rPr>
        <w:t xml:space="preserve">. </w:t>
      </w:r>
      <w:r w:rsidR="00B24480" w:rsidRPr="00051B77">
        <w:rPr>
          <w:rFonts w:ascii="Times New Roman" w:hAnsi="Times New Roman" w:cs="Times New Roman"/>
          <w:sz w:val="24"/>
          <w:szCs w:val="24"/>
        </w:rPr>
        <w:t>În secțiunea 2-a</w:t>
      </w:r>
      <w:r w:rsidR="00AD446E">
        <w:rPr>
          <w:rFonts w:ascii="Times New Roman" w:hAnsi="Times New Roman" w:cs="Times New Roman"/>
          <w:sz w:val="24"/>
          <w:szCs w:val="24"/>
        </w:rPr>
        <w:t>:</w:t>
      </w:r>
      <w:r w:rsidR="00B24480" w:rsidRPr="00051B77">
        <w:rPr>
          <w:rFonts w:ascii="Times New Roman" w:hAnsi="Times New Roman" w:cs="Times New Roman"/>
          <w:sz w:val="24"/>
          <w:szCs w:val="24"/>
        </w:rPr>
        <w:t xml:space="preserve"> c</w:t>
      </w:r>
      <w:r w:rsidR="004A42A8" w:rsidRPr="00051B77">
        <w:rPr>
          <w:rFonts w:ascii="Times New Roman" w:hAnsi="Times New Roman" w:cs="Times New Roman"/>
          <w:sz w:val="24"/>
          <w:szCs w:val="24"/>
        </w:rPr>
        <w:t xml:space="preserve">ompartimentul 2.1 </w:t>
      </w:r>
      <w:r w:rsidR="00AD446E">
        <w:rPr>
          <w:rFonts w:ascii="Times New Roman" w:hAnsi="Times New Roman" w:cs="Times New Roman"/>
          <w:sz w:val="24"/>
          <w:szCs w:val="24"/>
        </w:rPr>
        <w:t>va avea următorul cuprins</w:t>
      </w:r>
      <w:r w:rsidR="0083765C" w:rsidRPr="00051B7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76"/>
        <w:gridCol w:w="1206"/>
        <w:gridCol w:w="1106"/>
        <w:gridCol w:w="907"/>
        <w:gridCol w:w="1165"/>
        <w:gridCol w:w="1117"/>
        <w:gridCol w:w="1106"/>
        <w:gridCol w:w="1188"/>
        <w:gridCol w:w="658"/>
        <w:gridCol w:w="476"/>
      </w:tblGrid>
      <w:tr w:rsidR="005E2BCF" w:rsidRPr="00051B77" w14:paraId="5A45B14D" w14:textId="77777777" w:rsidTr="004A42A8">
        <w:trPr>
          <w:jc w:val="center"/>
        </w:trPr>
        <w:tc>
          <w:tcPr>
            <w:tcW w:w="50" w:type="dxa"/>
          </w:tcPr>
          <w:p w14:paraId="747B9AC1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o-MD"/>
              </w:rPr>
            </w:pPr>
          </w:p>
        </w:tc>
        <w:tc>
          <w:tcPr>
            <w:tcW w:w="930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F2853" w14:textId="0585DF0A" w:rsidR="005E2BCF" w:rsidRPr="00051B77" w:rsidRDefault="00853C14" w:rsidP="005E2B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„</w:t>
            </w:r>
            <w:proofErr w:type="spellStart"/>
            <w:r w:rsidR="005E2BCF"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Experienţa</w:t>
            </w:r>
            <w:proofErr w:type="spellEnd"/>
            <w:r w:rsidR="005E2BCF"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2.1 </w:t>
            </w:r>
            <w:proofErr w:type="spellStart"/>
            <w:r w:rsidR="005E2BCF"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Experienţă</w:t>
            </w:r>
            <w:proofErr w:type="spellEnd"/>
            <w:r w:rsidR="005E2BCF"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profesională</w:t>
            </w:r>
          </w:p>
          <w:p w14:paraId="44ECD194" w14:textId="613E96A6" w:rsidR="005E2BCF" w:rsidRPr="00051B77" w:rsidRDefault="005E2BCF" w:rsidP="005E2BC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o-MD"/>
              </w:rPr>
            </w:pP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Completaţi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tabelul de mai jos cu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informaţii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referitoare la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experienţa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profesională acumulată în perioada ultimilor 10 ani,</w:t>
            </w:r>
            <w:r w:rsidR="00E96D51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iar pentru persoanele cu funcții</w:t>
            </w:r>
            <w:r w:rsidR="00AD446E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-</w:t>
            </w:r>
            <w:r w:rsidR="00E96D51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cheie ultimii 5 ani,</w:t>
            </w: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începând cu cele mai recente</w:t>
            </w:r>
          </w:p>
          <w:p w14:paraId="02D9029B" w14:textId="367BA2FC" w:rsidR="005E2BCF" w:rsidRPr="00051B77" w:rsidRDefault="005E2BCF" w:rsidP="004F78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o-MD"/>
              </w:rPr>
            </w:pPr>
          </w:p>
        </w:tc>
      </w:tr>
      <w:tr w:rsidR="005E2BCF" w:rsidRPr="00051B77" w14:paraId="6FDE032B" w14:textId="77777777" w:rsidTr="004A42A8">
        <w:trPr>
          <w:jc w:val="center"/>
        </w:trPr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FAB45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Data angajării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A4DCE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Data concedierii/ demisiei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7CC93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Temeiul/ Motivul concedierii/ demisiei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FFD3F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Funcţia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deţinută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30533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Denumirea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şi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sediul persoanei juridice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B288E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Descrierea succintă a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activităţii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persoanei juridice *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F9DCF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Atribuţiile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delegate, domeniile de activitate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050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bookmarkStart w:id="11" w:name="_Hlk219302218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Funcție managerială (Da/Nu)**</w:t>
            </w:r>
            <w:bookmarkEnd w:id="11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6EF7A" w14:textId="77777777" w:rsidR="005E2BCF" w:rsidRPr="00051B77" w:rsidRDefault="005E2BCF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bookmarkStart w:id="12" w:name="_Hlk219302322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Numărul de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angajaţi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subordonaţi, bugetul gestionat***</w:t>
            </w:r>
            <w:bookmarkEnd w:id="12"/>
          </w:p>
        </w:tc>
      </w:tr>
      <w:tr w:rsidR="005E2BCF" w:rsidRPr="00051B77" w14:paraId="0899AD9A" w14:textId="77777777" w:rsidTr="004A42A8">
        <w:trPr>
          <w:jc w:val="center"/>
        </w:trPr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C7F62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FA8B2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78330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0B011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F37AB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77D80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6844C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790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06B86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</w:tr>
      <w:tr w:rsidR="005E2BCF" w:rsidRPr="00051B77" w14:paraId="1CE08C8E" w14:textId="77777777" w:rsidTr="004A42A8">
        <w:trPr>
          <w:jc w:val="center"/>
        </w:trPr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5B016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0E5E1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FB0D2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F3816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78EFD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5686F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45313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759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923D6" w14:textId="77777777" w:rsidR="005E2BCF" w:rsidRPr="00051B77" w:rsidRDefault="005E2BCF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</w:tr>
      <w:tr w:rsidR="006146AC" w:rsidRPr="00051B77" w14:paraId="4D03057B" w14:textId="77777777" w:rsidTr="008D2556">
        <w:trPr>
          <w:gridAfter w:val="1"/>
          <w:wAfter w:w="476" w:type="dxa"/>
          <w:jc w:val="center"/>
        </w:trPr>
        <w:tc>
          <w:tcPr>
            <w:tcW w:w="50" w:type="dxa"/>
          </w:tcPr>
          <w:p w14:paraId="6D7CE5D2" w14:textId="77777777" w:rsidR="006146AC" w:rsidRPr="00051B77" w:rsidRDefault="006146AC" w:rsidP="0005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</w:tc>
        <w:tc>
          <w:tcPr>
            <w:tcW w:w="8829" w:type="dxa"/>
            <w:gridSpan w:val="9"/>
            <w:tcBorders>
              <w:top w:val="single" w:sz="6" w:space="0" w:color="000000"/>
              <w:left w:val="nil"/>
              <w:bottom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06B6D" w14:textId="77777777" w:rsidR="006146AC" w:rsidRPr="00051B77" w:rsidRDefault="006146AC" w:rsidP="0005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</w:p>
          <w:p w14:paraId="18BFB4FA" w14:textId="055C809C" w:rsidR="006146AC" w:rsidRPr="00051B77" w:rsidRDefault="006146AC" w:rsidP="0005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* În coloana „Descrierea succintă a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activităţii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persoanei juridice”, se vor indica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activităţile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desfăşurate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de persoana juridică, numărul de sucursale, mărimea activelor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şi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a capitalului propriu sau cifra de afaceri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şi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alte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informaţii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relevante.</w:t>
            </w:r>
          </w:p>
          <w:p w14:paraId="0D8E86CE" w14:textId="0ADE12DE" w:rsidR="006146AC" w:rsidRPr="00051B77" w:rsidRDefault="006146AC" w:rsidP="0005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bookmarkStart w:id="13" w:name="_Hlk219302353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** În coloana „Funcție managerială (Da/Nu)” se va indica dacă funcția exercitată este  managerială. Funcții manageriale se consideră </w:t>
            </w:r>
            <w:proofErr w:type="spellStart"/>
            <w:r w:rsidR="00E8348E"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funcţia</w:t>
            </w:r>
            <w:proofErr w:type="spellEnd"/>
            <w:r w:rsidR="00E8348E"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de membru al consiliului, al organului executiv </w:t>
            </w:r>
            <w:proofErr w:type="spellStart"/>
            <w:r w:rsidR="00E8348E"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şi</w:t>
            </w:r>
            <w:proofErr w:type="spellEnd"/>
            <w:r w:rsidR="00E8348E"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/sau al altor organe colective de conducere</w:t>
            </w:r>
            <w:r w:rsidR="00E8348E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,</w:t>
            </w:r>
            <w:r w:rsidR="00E8348E"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</w:t>
            </w: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funcțiile de conducător al unei su</w:t>
            </w:r>
            <w:r w:rsidR="00E8348E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cursale</w:t>
            </w: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, al unui departament/direcții din cadrul persoanei juridic</w:t>
            </w:r>
            <w:r w:rsidR="00E8348E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e</w:t>
            </w: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.</w:t>
            </w:r>
          </w:p>
          <w:bookmarkEnd w:id="13"/>
          <w:p w14:paraId="2FD65837" w14:textId="123942DC" w:rsidR="006146AC" w:rsidRPr="00051B77" w:rsidRDefault="00A50E63" w:rsidP="0005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lastRenderedPageBreak/>
              <w:t xml:space="preserve">*** Coloana „Numărul de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angajaţi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 xml:space="preserve">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subordonaţi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, bugetul gestionat” se va completa doar în privința funcțiilor manageriale”;</w:t>
            </w:r>
          </w:p>
        </w:tc>
      </w:tr>
    </w:tbl>
    <w:p w14:paraId="79DF1F1C" w14:textId="38B296E2" w:rsidR="005E2BCF" w:rsidRPr="00AC10EE" w:rsidRDefault="00AC10EE" w:rsidP="00AC10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2.13.</w:t>
      </w:r>
      <w:r w:rsidR="00B24480" w:rsidRPr="00AC10EE">
        <w:rPr>
          <w:rFonts w:ascii="Times New Roman" w:hAnsi="Times New Roman" w:cs="Times New Roman"/>
          <w:sz w:val="24"/>
          <w:szCs w:val="24"/>
        </w:rPr>
        <w:t xml:space="preserve"> Compartimentul 2.2. se exclude;</w:t>
      </w:r>
    </w:p>
    <w:p w14:paraId="1EAE1509" w14:textId="67A97F13" w:rsidR="00DA337F" w:rsidRPr="00AC10EE" w:rsidRDefault="00AC10EE" w:rsidP="00AC10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E96D51" w:rsidRPr="00AC10EE">
        <w:rPr>
          <w:rFonts w:ascii="Times New Roman" w:hAnsi="Times New Roman" w:cs="Times New Roman"/>
          <w:sz w:val="24"/>
          <w:szCs w:val="24"/>
        </w:rPr>
        <w:t>În secțiunea a 3-a</w:t>
      </w:r>
      <w:r w:rsidR="00DA337F" w:rsidRPr="00AC10EE">
        <w:rPr>
          <w:rFonts w:ascii="Times New Roman" w:hAnsi="Times New Roman" w:cs="Times New Roman"/>
          <w:sz w:val="24"/>
          <w:szCs w:val="24"/>
        </w:rPr>
        <w:t>:</w:t>
      </w:r>
    </w:p>
    <w:p w14:paraId="001642BD" w14:textId="1001D049" w:rsidR="00F60780" w:rsidRPr="00AC10EE" w:rsidRDefault="00AC10EE" w:rsidP="00C0587E">
      <w:pPr>
        <w:tabs>
          <w:tab w:val="left" w:pos="709"/>
        </w:tabs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2.14.1.</w:t>
      </w:r>
      <w:r w:rsidR="00AD446E" w:rsidRPr="00AC10EE">
        <w:rPr>
          <w:rFonts w:ascii="Times New Roman" w:hAnsi="Times New Roman" w:cs="Times New Roman"/>
          <w:sz w:val="24"/>
          <w:szCs w:val="24"/>
        </w:rPr>
        <w:t xml:space="preserve"> </w:t>
      </w:r>
      <w:r w:rsidR="00E96D51" w:rsidRPr="00AC10EE">
        <w:rPr>
          <w:rFonts w:ascii="Times New Roman" w:hAnsi="Times New Roman" w:cs="Times New Roman"/>
          <w:sz w:val="24"/>
          <w:szCs w:val="24"/>
        </w:rPr>
        <w:t>c</w:t>
      </w:r>
      <w:r w:rsidR="00F60780" w:rsidRPr="00AC10EE">
        <w:rPr>
          <w:rFonts w:ascii="Times New Roman" w:hAnsi="Times New Roman" w:cs="Times New Roman"/>
          <w:sz w:val="24"/>
          <w:szCs w:val="24"/>
        </w:rPr>
        <w:t>ompartimentul 3.1.</w:t>
      </w:r>
      <w:r w:rsidR="006146AC" w:rsidRPr="00AC10EE">
        <w:rPr>
          <w:rFonts w:ascii="Times New Roman" w:hAnsi="Times New Roman" w:cs="Times New Roman"/>
          <w:sz w:val="24"/>
          <w:szCs w:val="24"/>
        </w:rPr>
        <w:t xml:space="preserve"> </w:t>
      </w:r>
      <w:r w:rsidR="00AD446E" w:rsidRPr="00AC10EE">
        <w:rPr>
          <w:rFonts w:ascii="Times New Roman" w:hAnsi="Times New Roman" w:cs="Times New Roman"/>
          <w:sz w:val="24"/>
          <w:szCs w:val="24"/>
        </w:rPr>
        <w:t>va avea următorul conținut</w:t>
      </w:r>
      <w:r w:rsidR="00F60780" w:rsidRPr="00AC10EE">
        <w:rPr>
          <w:rFonts w:ascii="Times New Roman" w:hAnsi="Times New Roman" w:cs="Times New Roman"/>
          <w:sz w:val="24"/>
          <w:szCs w:val="24"/>
        </w:rPr>
        <w:t>:</w:t>
      </w:r>
    </w:p>
    <w:p w14:paraId="59EA8DDF" w14:textId="7744D97D" w:rsidR="006146AC" w:rsidRPr="00051B77" w:rsidRDefault="006146AC" w:rsidP="00051B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B77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051B77">
        <w:rPr>
          <w:rFonts w:ascii="Times New Roman" w:hAnsi="Times New Roman" w:cs="Times New Roman"/>
          <w:b/>
          <w:bCs/>
          <w:sz w:val="24"/>
          <w:szCs w:val="24"/>
        </w:rPr>
        <w:t>Reputaţia</w:t>
      </w:r>
      <w:proofErr w:type="spellEnd"/>
      <w:r w:rsidRPr="00051B77">
        <w:rPr>
          <w:rFonts w:ascii="Times New Roman" w:hAnsi="Times New Roman" w:cs="Times New Roman"/>
          <w:b/>
          <w:bCs/>
          <w:sz w:val="24"/>
          <w:szCs w:val="24"/>
        </w:rPr>
        <w:t xml:space="preserve"> 3.1 Antecedente penale și contravenționale, procese penale </w:t>
      </w:r>
      <w:proofErr w:type="spellStart"/>
      <w:r w:rsidRPr="00051B77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051B77">
        <w:rPr>
          <w:rFonts w:ascii="Times New Roman" w:hAnsi="Times New Roman" w:cs="Times New Roman"/>
          <w:b/>
          <w:bCs/>
          <w:sz w:val="24"/>
          <w:szCs w:val="24"/>
        </w:rPr>
        <w:t xml:space="preserve">/ sau </w:t>
      </w:r>
      <w:proofErr w:type="spellStart"/>
      <w:r w:rsidRPr="00051B77">
        <w:rPr>
          <w:rFonts w:ascii="Times New Roman" w:hAnsi="Times New Roman" w:cs="Times New Roman"/>
          <w:b/>
          <w:bCs/>
          <w:sz w:val="24"/>
          <w:szCs w:val="24"/>
        </w:rPr>
        <w:t>contravenţionale</w:t>
      </w:r>
      <w:proofErr w:type="spellEnd"/>
    </w:p>
    <w:p w14:paraId="53AB73F2" w14:textId="27588A05" w:rsidR="006146AC" w:rsidRPr="00051B77" w:rsidRDefault="006146AC" w:rsidP="00051B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În ultimii 10 ani,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aţi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purtat răspundere penală sau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aţi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fost sau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sunteţi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subiectul unui proces penal ori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contravenţional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ce afectează activitatea de întreprinzător, fiscalitatea, activitatea vamală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valorile mobiliare?</w:t>
      </w:r>
    </w:p>
    <w:tbl>
      <w:tblPr>
        <w:tblW w:w="1500" w:type="pct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312"/>
      </w:tblGrid>
      <w:tr w:rsidR="006146AC" w:rsidRPr="00051B77" w14:paraId="31455FFC" w14:textId="77777777" w:rsidTr="00796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03DD9" w14:textId="77DDF40F" w:rsidR="006146AC" w:rsidRPr="00051B77" w:rsidRDefault="006146AC" w:rsidP="0005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1AEA2" w14:textId="77777777" w:rsidR="006146AC" w:rsidRPr="00051B77" w:rsidRDefault="006146AC" w:rsidP="0005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NU</w:t>
            </w:r>
          </w:p>
        </w:tc>
      </w:tr>
    </w:tbl>
    <w:p w14:paraId="435A54EC" w14:textId="000B0104" w:rsidR="00F60780" w:rsidRPr="00051B77" w:rsidRDefault="006146AC" w:rsidP="009F5D04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În cazul unui răspuns afirmativ, se vor prezenta detalii (se vor indică cel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infracţiunea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comisă,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data aplicării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executării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>, respectiv, organul de urmărire penală (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instanţa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de judecată) care a emis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sentinţa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sau care examinează cauza,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infracţiunea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incriminată)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documentul/documentele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competente, dacă există, cu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>, care pot fi incluse la chestiunea 3.11.”;</w:t>
      </w:r>
    </w:p>
    <w:p w14:paraId="0236F419" w14:textId="5BBCB43A" w:rsidR="006C4742" w:rsidRPr="00C0587E" w:rsidRDefault="009F5D04" w:rsidP="00C0587E">
      <w:pPr>
        <w:pStyle w:val="ListParagraph"/>
        <w:numPr>
          <w:ilvl w:val="2"/>
          <w:numId w:val="10"/>
        </w:numPr>
        <w:tabs>
          <w:tab w:val="left" w:pos="852"/>
        </w:tabs>
        <w:spacing w:after="0" w:line="240" w:lineRule="auto"/>
        <w:ind w:hanging="982"/>
        <w:jc w:val="both"/>
        <w:rPr>
          <w:rFonts w:ascii="Times New Roman" w:hAnsi="Times New Roman" w:cs="Times New Roman"/>
          <w:sz w:val="24"/>
          <w:szCs w:val="24"/>
        </w:rPr>
      </w:pPr>
      <w:r w:rsidRPr="00C0587E">
        <w:rPr>
          <w:rFonts w:ascii="Times New Roman" w:hAnsi="Times New Roman" w:cs="Times New Roman"/>
          <w:sz w:val="24"/>
          <w:szCs w:val="24"/>
        </w:rPr>
        <w:t>î</w:t>
      </w:r>
      <w:r w:rsidR="00DD1379" w:rsidRPr="00C0587E">
        <w:rPr>
          <w:rFonts w:ascii="Times New Roman" w:hAnsi="Times New Roman" w:cs="Times New Roman"/>
          <w:sz w:val="24"/>
          <w:szCs w:val="24"/>
        </w:rPr>
        <w:t>n c</w:t>
      </w:r>
      <w:r w:rsidR="006C4742" w:rsidRPr="00C0587E">
        <w:rPr>
          <w:rFonts w:ascii="Times New Roman" w:hAnsi="Times New Roman" w:cs="Times New Roman"/>
          <w:sz w:val="24"/>
          <w:szCs w:val="24"/>
        </w:rPr>
        <w:t>ompartimentul 3.12.:</w:t>
      </w:r>
    </w:p>
    <w:p w14:paraId="00CDE354" w14:textId="0DF6D98C" w:rsidR="006C4742" w:rsidRPr="00C0587E" w:rsidRDefault="00DD1379" w:rsidP="00C0587E">
      <w:pPr>
        <w:pStyle w:val="ListParagraph"/>
        <w:numPr>
          <w:ilvl w:val="3"/>
          <w:numId w:val="10"/>
        </w:numPr>
        <w:tabs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587E">
        <w:rPr>
          <w:rFonts w:ascii="Times New Roman" w:hAnsi="Times New Roman" w:cs="Times New Roman"/>
          <w:sz w:val="24"/>
          <w:szCs w:val="24"/>
        </w:rPr>
        <w:t xml:space="preserve">denumirea </w:t>
      </w:r>
      <w:r w:rsidR="00EE049A" w:rsidRPr="00C0587E">
        <w:rPr>
          <w:rFonts w:ascii="Times New Roman" w:hAnsi="Times New Roman" w:cs="Times New Roman"/>
          <w:sz w:val="24"/>
          <w:szCs w:val="24"/>
        </w:rPr>
        <w:t>va avea următorul cuprins</w:t>
      </w:r>
      <w:r w:rsidR="00EE049A" w:rsidRPr="00C0587E" w:rsidDel="00EE049A">
        <w:rPr>
          <w:rFonts w:ascii="Times New Roman" w:hAnsi="Times New Roman" w:cs="Times New Roman"/>
          <w:sz w:val="24"/>
          <w:szCs w:val="24"/>
        </w:rPr>
        <w:t xml:space="preserve"> </w:t>
      </w:r>
      <w:r w:rsidR="006C4742" w:rsidRPr="00C0587E">
        <w:rPr>
          <w:rFonts w:ascii="Times New Roman" w:hAnsi="Times New Roman" w:cs="Times New Roman"/>
          <w:sz w:val="24"/>
          <w:szCs w:val="24"/>
        </w:rPr>
        <w:t xml:space="preserve">„Alte </w:t>
      </w:r>
      <w:r w:rsidR="00896060" w:rsidRPr="00C0587E">
        <w:rPr>
          <w:rFonts w:ascii="Times New Roman" w:hAnsi="Times New Roman" w:cs="Times New Roman"/>
          <w:sz w:val="24"/>
          <w:szCs w:val="24"/>
        </w:rPr>
        <w:t>măsuri sancționatorii</w:t>
      </w:r>
      <w:r w:rsidR="006C4742" w:rsidRPr="00C0587E">
        <w:rPr>
          <w:rFonts w:ascii="Times New Roman" w:hAnsi="Times New Roman" w:cs="Times New Roman"/>
          <w:sz w:val="24"/>
          <w:szCs w:val="24"/>
        </w:rPr>
        <w:t xml:space="preserve"> cu relevanță </w:t>
      </w:r>
      <w:proofErr w:type="spellStart"/>
      <w:r w:rsidR="006C4742" w:rsidRPr="00C0587E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="006C4742" w:rsidRPr="00C0587E">
        <w:rPr>
          <w:rFonts w:ascii="Times New Roman" w:hAnsi="Times New Roman" w:cs="Times New Roman"/>
          <w:sz w:val="24"/>
          <w:szCs w:val="24"/>
        </w:rPr>
        <w:t>-financiară”;</w:t>
      </w:r>
    </w:p>
    <w:p w14:paraId="61EA8B70" w14:textId="1FDF9DE6" w:rsidR="006C4742" w:rsidRPr="00051B77" w:rsidRDefault="00DD1379" w:rsidP="00AC10EE">
      <w:pPr>
        <w:pStyle w:val="ListParagraph"/>
        <w:numPr>
          <w:ilvl w:val="3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51B77">
        <w:rPr>
          <w:rFonts w:ascii="Times New Roman" w:hAnsi="Times New Roman" w:cs="Times New Roman"/>
          <w:sz w:val="24"/>
          <w:szCs w:val="24"/>
        </w:rPr>
        <w:t xml:space="preserve">rima </w:t>
      </w:r>
      <w:r w:rsidR="006C4742" w:rsidRPr="00051B77">
        <w:rPr>
          <w:rFonts w:ascii="Times New Roman" w:hAnsi="Times New Roman" w:cs="Times New Roman"/>
          <w:sz w:val="24"/>
          <w:szCs w:val="24"/>
        </w:rPr>
        <w:t xml:space="preserve">propoziție </w:t>
      </w:r>
      <w:r w:rsidR="00EE049A">
        <w:rPr>
          <w:rFonts w:ascii="Times New Roman" w:hAnsi="Times New Roman" w:cs="Times New Roman"/>
          <w:sz w:val="24"/>
          <w:szCs w:val="24"/>
        </w:rPr>
        <w:t>va avea</w:t>
      </w:r>
      <w:r w:rsidR="00EE049A" w:rsidRPr="00EE049A">
        <w:rPr>
          <w:rFonts w:ascii="Times New Roman" w:hAnsi="Times New Roman" w:cs="Times New Roman"/>
          <w:sz w:val="24"/>
          <w:szCs w:val="24"/>
        </w:rPr>
        <w:t xml:space="preserve"> următorul cuprins</w:t>
      </w:r>
      <w:r w:rsidR="006C4742" w:rsidRPr="00051B77">
        <w:rPr>
          <w:rFonts w:ascii="Times New Roman" w:hAnsi="Times New Roman" w:cs="Times New Roman"/>
          <w:sz w:val="24"/>
          <w:szCs w:val="24"/>
        </w:rPr>
        <w:t>:</w:t>
      </w:r>
      <w:r w:rsidR="00892B66"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="006C4742" w:rsidRPr="00051B7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92B66" w:rsidRPr="00051B77">
        <w:rPr>
          <w:rFonts w:ascii="Times New Roman" w:hAnsi="Times New Roman" w:cs="Times New Roman"/>
          <w:sz w:val="24"/>
          <w:szCs w:val="24"/>
        </w:rPr>
        <w:t>Aţi</w:t>
      </w:r>
      <w:proofErr w:type="spellEnd"/>
      <w:r w:rsidR="00892B66" w:rsidRPr="00051B77">
        <w:rPr>
          <w:rFonts w:ascii="Times New Roman" w:hAnsi="Times New Roman" w:cs="Times New Roman"/>
          <w:sz w:val="24"/>
          <w:szCs w:val="24"/>
        </w:rPr>
        <w:t xml:space="preserve"> fost </w:t>
      </w:r>
      <w:proofErr w:type="spellStart"/>
      <w:r w:rsidR="00892B66" w:rsidRPr="00051B77">
        <w:rPr>
          <w:rFonts w:ascii="Times New Roman" w:hAnsi="Times New Roman" w:cs="Times New Roman"/>
          <w:sz w:val="24"/>
          <w:szCs w:val="24"/>
        </w:rPr>
        <w:t>sancţionat</w:t>
      </w:r>
      <w:proofErr w:type="spellEnd"/>
      <w:r w:rsidR="00892B66" w:rsidRPr="0005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66"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92B66" w:rsidRPr="00051B77">
        <w:rPr>
          <w:rFonts w:ascii="Times New Roman" w:hAnsi="Times New Roman" w:cs="Times New Roman"/>
          <w:sz w:val="24"/>
          <w:szCs w:val="24"/>
        </w:rPr>
        <w:t xml:space="preserve">/sau concediat, în ultimii 10 ani, pentru probleme financiare la locurile anterioare de muncă în legătură cu sustragerea ori /dobândirea bunurilor altei persoanei prin furt, însușire, delapidare, înșelăciune, escrocherie, abuz de putere sau, abuz de serviciu, precum </w:t>
      </w:r>
      <w:proofErr w:type="spellStart"/>
      <w:r w:rsidR="00892B66"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92B66" w:rsidRPr="00051B77">
        <w:rPr>
          <w:rFonts w:ascii="Times New Roman" w:hAnsi="Times New Roman" w:cs="Times New Roman"/>
          <w:sz w:val="24"/>
          <w:szCs w:val="24"/>
        </w:rPr>
        <w:t xml:space="preserve"> pentru evaziune fiscală?”</w:t>
      </w:r>
      <w:r w:rsidR="006C4742" w:rsidRPr="00051B77">
        <w:rPr>
          <w:rFonts w:ascii="Times New Roman" w:hAnsi="Times New Roman" w:cs="Times New Roman"/>
          <w:sz w:val="24"/>
          <w:szCs w:val="24"/>
        </w:rPr>
        <w:t>;</w:t>
      </w:r>
    </w:p>
    <w:p w14:paraId="207B831F" w14:textId="5ECF8148" w:rsidR="006C4742" w:rsidRPr="00051B77" w:rsidRDefault="00DD1379" w:rsidP="00AC10EE">
      <w:pPr>
        <w:pStyle w:val="ListParagraph"/>
        <w:numPr>
          <w:ilvl w:val="3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="006C4742" w:rsidRPr="00051B77">
        <w:rPr>
          <w:rFonts w:ascii="Times New Roman" w:hAnsi="Times New Roman" w:cs="Times New Roman"/>
          <w:sz w:val="24"/>
          <w:szCs w:val="24"/>
        </w:rPr>
        <w:t xml:space="preserve">doua propoziție </w:t>
      </w:r>
      <w:r w:rsidR="00EE049A">
        <w:rPr>
          <w:rFonts w:ascii="Times New Roman" w:hAnsi="Times New Roman" w:cs="Times New Roman"/>
          <w:sz w:val="24"/>
          <w:szCs w:val="24"/>
        </w:rPr>
        <w:t xml:space="preserve">va avea </w:t>
      </w:r>
      <w:r w:rsidR="00EE049A" w:rsidRPr="00EE049A">
        <w:rPr>
          <w:rFonts w:ascii="Times New Roman" w:hAnsi="Times New Roman" w:cs="Times New Roman"/>
          <w:sz w:val="24"/>
          <w:szCs w:val="24"/>
        </w:rPr>
        <w:t>următorul cuprins</w:t>
      </w:r>
      <w:r w:rsidR="006C4742" w:rsidRPr="00051B77">
        <w:rPr>
          <w:rFonts w:ascii="Times New Roman" w:hAnsi="Times New Roman" w:cs="Times New Roman"/>
          <w:sz w:val="24"/>
          <w:szCs w:val="24"/>
        </w:rPr>
        <w:t xml:space="preserve">: „În cazul unui răspuns afirmativ, se vor prezenta detalii (se va indica cel </w:t>
      </w:r>
      <w:r w:rsidR="00892B66" w:rsidRPr="00051B77">
        <w:rPr>
          <w:rFonts w:ascii="Times New Roman" w:hAnsi="Times New Roman" w:cs="Times New Roman"/>
          <w:sz w:val="24"/>
          <w:szCs w:val="24"/>
        </w:rPr>
        <w:t>puțin</w:t>
      </w:r>
      <w:r w:rsidR="006C4742" w:rsidRPr="00051B77">
        <w:rPr>
          <w:rFonts w:ascii="Times New Roman" w:hAnsi="Times New Roman" w:cs="Times New Roman"/>
          <w:sz w:val="24"/>
          <w:szCs w:val="24"/>
        </w:rPr>
        <w:t xml:space="preserve">, după caz: angajatorul sau autoritatea care a luat decizia, data deciziei, fapta comisă, </w:t>
      </w:r>
      <w:r w:rsidR="00892B66" w:rsidRPr="00051B77">
        <w:rPr>
          <w:rFonts w:ascii="Times New Roman" w:hAnsi="Times New Roman" w:cs="Times New Roman"/>
          <w:sz w:val="24"/>
          <w:szCs w:val="24"/>
        </w:rPr>
        <w:t>sancțiunea</w:t>
      </w:r>
      <w:r w:rsidR="002238FB" w:rsidRPr="00051B77">
        <w:rPr>
          <w:rFonts w:ascii="Times New Roman" w:hAnsi="Times New Roman" w:cs="Times New Roman"/>
          <w:sz w:val="24"/>
          <w:szCs w:val="24"/>
        </w:rPr>
        <w:t xml:space="preserve">/măsura </w:t>
      </w:r>
      <w:r w:rsidR="006C4742" w:rsidRPr="00051B77">
        <w:rPr>
          <w:rFonts w:ascii="Times New Roman" w:hAnsi="Times New Roman" w:cs="Times New Roman"/>
          <w:sz w:val="24"/>
          <w:szCs w:val="24"/>
        </w:rPr>
        <w:t xml:space="preserve">aplicată, data aplicării </w:t>
      </w:r>
      <w:proofErr w:type="spellStart"/>
      <w:r w:rsidR="006C4742"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C4742" w:rsidRPr="00051B77">
        <w:rPr>
          <w:rFonts w:ascii="Times New Roman" w:hAnsi="Times New Roman" w:cs="Times New Roman"/>
          <w:sz w:val="24"/>
          <w:szCs w:val="24"/>
        </w:rPr>
        <w:t xml:space="preserve"> executării </w:t>
      </w:r>
      <w:r w:rsidR="00892B66" w:rsidRPr="00051B77">
        <w:rPr>
          <w:rFonts w:ascii="Times New Roman" w:hAnsi="Times New Roman" w:cs="Times New Roman"/>
          <w:sz w:val="24"/>
          <w:szCs w:val="24"/>
        </w:rPr>
        <w:t>sancțiunii</w:t>
      </w:r>
      <w:r w:rsidR="006C4742" w:rsidRPr="00051B77">
        <w:rPr>
          <w:rFonts w:ascii="Times New Roman" w:hAnsi="Times New Roman" w:cs="Times New Roman"/>
          <w:sz w:val="24"/>
          <w:szCs w:val="24"/>
        </w:rPr>
        <w:t xml:space="preserve"> / măsurii).”</w:t>
      </w:r>
      <w:r w:rsidR="00AD446E">
        <w:rPr>
          <w:rFonts w:ascii="Times New Roman" w:hAnsi="Times New Roman" w:cs="Times New Roman"/>
          <w:sz w:val="24"/>
          <w:szCs w:val="24"/>
        </w:rPr>
        <w:t>.</w:t>
      </w:r>
    </w:p>
    <w:p w14:paraId="269FF1A4" w14:textId="7266EFAA" w:rsidR="00DA337F" w:rsidRPr="00AC10EE" w:rsidRDefault="00DD1379" w:rsidP="00AC10EE">
      <w:pPr>
        <w:pStyle w:val="ListParagraph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0EE">
        <w:rPr>
          <w:rFonts w:ascii="Times New Roman" w:hAnsi="Times New Roman" w:cs="Times New Roman"/>
          <w:sz w:val="24"/>
          <w:szCs w:val="24"/>
        </w:rPr>
        <w:t>În secțiunea a 5-a</w:t>
      </w:r>
      <w:r w:rsidR="00DA337F" w:rsidRPr="00AC10EE">
        <w:rPr>
          <w:rFonts w:ascii="Times New Roman" w:hAnsi="Times New Roman" w:cs="Times New Roman"/>
          <w:sz w:val="24"/>
          <w:szCs w:val="24"/>
        </w:rPr>
        <w:t>:</w:t>
      </w:r>
    </w:p>
    <w:p w14:paraId="1C8D4862" w14:textId="72869EC8" w:rsidR="004C343C" w:rsidRPr="00AC10EE" w:rsidRDefault="00DD1379" w:rsidP="00AC10EE">
      <w:pPr>
        <w:pStyle w:val="ListParagraph"/>
        <w:numPr>
          <w:ilvl w:val="3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0EE">
        <w:rPr>
          <w:rFonts w:ascii="Times New Roman" w:hAnsi="Times New Roman" w:cs="Times New Roman"/>
          <w:sz w:val="24"/>
          <w:szCs w:val="24"/>
        </w:rPr>
        <w:t xml:space="preserve"> </w:t>
      </w:r>
      <w:r w:rsidR="0047164F" w:rsidRPr="00AC10EE">
        <w:rPr>
          <w:rFonts w:ascii="Times New Roman" w:hAnsi="Times New Roman" w:cs="Times New Roman"/>
          <w:sz w:val="24"/>
          <w:szCs w:val="24"/>
        </w:rPr>
        <w:t xml:space="preserve">la </w:t>
      </w:r>
      <w:r w:rsidR="00527936" w:rsidRPr="00AC10EE">
        <w:rPr>
          <w:rFonts w:ascii="Times New Roman" w:hAnsi="Times New Roman" w:cs="Times New Roman"/>
          <w:sz w:val="24"/>
          <w:szCs w:val="24"/>
        </w:rPr>
        <w:t>compartimentul</w:t>
      </w:r>
      <w:r w:rsidR="0047164F" w:rsidRPr="00AC10EE">
        <w:rPr>
          <w:rFonts w:ascii="Times New Roman" w:hAnsi="Times New Roman" w:cs="Times New Roman"/>
          <w:sz w:val="24"/>
          <w:szCs w:val="24"/>
        </w:rPr>
        <w:t xml:space="preserve"> </w:t>
      </w:r>
      <w:r w:rsidR="00A45DC8" w:rsidRPr="00AC10EE">
        <w:rPr>
          <w:rFonts w:ascii="Times New Roman" w:hAnsi="Times New Roman" w:cs="Times New Roman"/>
          <w:sz w:val="24"/>
          <w:szCs w:val="24"/>
        </w:rPr>
        <w:t>5.1</w:t>
      </w:r>
      <w:r w:rsidR="004C343C" w:rsidRPr="00AC10EE">
        <w:rPr>
          <w:rFonts w:ascii="Times New Roman" w:hAnsi="Times New Roman" w:cs="Times New Roman"/>
          <w:sz w:val="24"/>
          <w:szCs w:val="24"/>
        </w:rPr>
        <w:t>:</w:t>
      </w:r>
    </w:p>
    <w:p w14:paraId="0C735636" w14:textId="7E32FD82" w:rsidR="004C343C" w:rsidRPr="00AC10EE" w:rsidRDefault="000F21A7" w:rsidP="00AC10EE">
      <w:pPr>
        <w:pStyle w:val="ListParagraph"/>
        <w:numPr>
          <w:ilvl w:val="4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10EE">
        <w:rPr>
          <w:rFonts w:ascii="Times New Roman" w:hAnsi="Times New Roman" w:cs="Times New Roman"/>
          <w:sz w:val="24"/>
          <w:szCs w:val="24"/>
        </w:rPr>
        <w:t xml:space="preserve">în prima propoziție </w:t>
      </w:r>
      <w:r w:rsidR="00304F2D" w:rsidRPr="00AC10EE">
        <w:rPr>
          <w:rFonts w:ascii="Times New Roman" w:hAnsi="Times New Roman" w:cs="Times New Roman"/>
          <w:sz w:val="24"/>
          <w:szCs w:val="24"/>
        </w:rPr>
        <w:t xml:space="preserve">textul „asigurătorilor” se </w:t>
      </w:r>
      <w:r w:rsidR="00BF2B66" w:rsidRPr="00AC10EE">
        <w:rPr>
          <w:rFonts w:ascii="Times New Roman" w:hAnsi="Times New Roman" w:cs="Times New Roman"/>
          <w:sz w:val="24"/>
          <w:szCs w:val="24"/>
        </w:rPr>
        <w:t>substituie</w:t>
      </w:r>
      <w:r w:rsidR="00304F2D" w:rsidRPr="00AC10EE">
        <w:rPr>
          <w:rFonts w:ascii="Times New Roman" w:hAnsi="Times New Roman" w:cs="Times New Roman"/>
          <w:sz w:val="24"/>
          <w:szCs w:val="24"/>
        </w:rPr>
        <w:t xml:space="preserve"> cu textul „asigurătorilor</w:t>
      </w:r>
      <w:r w:rsidR="00527936" w:rsidRPr="00AC10EE">
        <w:rPr>
          <w:rFonts w:ascii="Times New Roman" w:hAnsi="Times New Roman" w:cs="Times New Roman"/>
          <w:sz w:val="24"/>
          <w:szCs w:val="24"/>
        </w:rPr>
        <w:t>,</w:t>
      </w:r>
      <w:r w:rsidR="00304F2D" w:rsidRPr="00AC10EE">
        <w:rPr>
          <w:rFonts w:ascii="Times New Roman" w:hAnsi="Times New Roman" w:cs="Times New Roman"/>
          <w:sz w:val="24"/>
          <w:szCs w:val="24"/>
        </w:rPr>
        <w:t>”</w:t>
      </w:r>
      <w:r w:rsidRPr="00AC10EE">
        <w:rPr>
          <w:rFonts w:ascii="Times New Roman" w:hAnsi="Times New Roman" w:cs="Times New Roman"/>
          <w:sz w:val="24"/>
          <w:szCs w:val="24"/>
        </w:rPr>
        <w:t xml:space="preserve"> iar</w:t>
      </w:r>
      <w:r w:rsidR="00A45EEB" w:rsidRPr="00AC10EE">
        <w:rPr>
          <w:rFonts w:ascii="Times New Roman" w:hAnsi="Times New Roman" w:cs="Times New Roman"/>
          <w:sz w:val="24"/>
          <w:szCs w:val="24"/>
        </w:rPr>
        <w:t xml:space="preserve"> </w:t>
      </w:r>
      <w:r w:rsidR="007A0175" w:rsidRPr="00AC10EE">
        <w:rPr>
          <w:rFonts w:ascii="Times New Roman" w:hAnsi="Times New Roman" w:cs="Times New Roman"/>
          <w:sz w:val="24"/>
          <w:szCs w:val="24"/>
        </w:rPr>
        <w:t>textul „</w:t>
      </w:r>
      <w:proofErr w:type="spellStart"/>
      <w:r w:rsidR="007A0175" w:rsidRPr="00AC10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0175" w:rsidRPr="00AC10EE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="007A0175" w:rsidRPr="00AC10EE">
        <w:rPr>
          <w:rFonts w:ascii="Times New Roman" w:hAnsi="Times New Roman" w:cs="Times New Roman"/>
          <w:sz w:val="24"/>
          <w:szCs w:val="24"/>
        </w:rPr>
        <w:t>aveţi</w:t>
      </w:r>
      <w:proofErr w:type="spellEnd"/>
      <w:r w:rsidR="007A0175" w:rsidRPr="00AC10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0175" w:rsidRPr="00AC10EE">
        <w:rPr>
          <w:rFonts w:ascii="Times New Roman" w:hAnsi="Times New Roman" w:cs="Times New Roman"/>
          <w:sz w:val="24"/>
          <w:szCs w:val="24"/>
        </w:rPr>
        <w:t>aţi</w:t>
      </w:r>
      <w:proofErr w:type="spellEnd"/>
      <w:r w:rsidR="007A0175" w:rsidRPr="00AC10EE">
        <w:rPr>
          <w:rFonts w:ascii="Times New Roman" w:hAnsi="Times New Roman" w:cs="Times New Roman"/>
          <w:sz w:val="24"/>
          <w:szCs w:val="24"/>
        </w:rPr>
        <w:t xml:space="preserve"> avut </w:t>
      </w:r>
      <w:proofErr w:type="spellStart"/>
      <w:r w:rsidR="007A0175" w:rsidRPr="00AC10EE">
        <w:rPr>
          <w:rFonts w:ascii="Times New Roman" w:hAnsi="Times New Roman" w:cs="Times New Roman"/>
          <w:sz w:val="24"/>
          <w:szCs w:val="24"/>
        </w:rPr>
        <w:t>deţineri</w:t>
      </w:r>
      <w:proofErr w:type="spellEnd"/>
      <w:r w:rsidR="007A0175" w:rsidRPr="00AC10EE">
        <w:rPr>
          <w:rFonts w:ascii="Times New Roman" w:hAnsi="Times New Roman" w:cs="Times New Roman"/>
          <w:sz w:val="24"/>
          <w:szCs w:val="24"/>
        </w:rPr>
        <w:t xml:space="preserve"> în capitalul social al asigurătorilor” se exclude</w:t>
      </w:r>
      <w:r w:rsidR="00527936" w:rsidRPr="00AC10EE">
        <w:rPr>
          <w:rFonts w:ascii="Times New Roman" w:hAnsi="Times New Roman" w:cs="Times New Roman"/>
          <w:sz w:val="24"/>
          <w:szCs w:val="24"/>
        </w:rPr>
        <w:t>;</w:t>
      </w:r>
    </w:p>
    <w:p w14:paraId="4A0E7C4D" w14:textId="296D50F1" w:rsidR="00A45DC8" w:rsidRPr="00051B77" w:rsidRDefault="004C343C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în tabel, în coloană </w:t>
      </w:r>
      <w:r w:rsidR="003300FA" w:rsidRPr="00051B77">
        <w:rPr>
          <w:rFonts w:ascii="Times New Roman" w:hAnsi="Times New Roman" w:cs="Times New Roman"/>
          <w:sz w:val="24"/>
          <w:szCs w:val="24"/>
        </w:rPr>
        <w:t xml:space="preserve">1-a </w:t>
      </w:r>
      <w:r w:rsidRPr="00051B77">
        <w:rPr>
          <w:rFonts w:ascii="Times New Roman" w:hAnsi="Times New Roman" w:cs="Times New Roman"/>
          <w:sz w:val="24"/>
          <w:szCs w:val="24"/>
        </w:rPr>
        <w:t>textul</w:t>
      </w:r>
      <w:r w:rsidR="00DD1379">
        <w:rPr>
          <w:rFonts w:ascii="Times New Roman" w:hAnsi="Times New Roman" w:cs="Times New Roman"/>
          <w:sz w:val="24"/>
          <w:szCs w:val="24"/>
        </w:rPr>
        <w:t xml:space="preserve"> </w:t>
      </w:r>
      <w:r w:rsidRPr="00051B77">
        <w:rPr>
          <w:rFonts w:ascii="Times New Roman" w:hAnsi="Times New Roman" w:cs="Times New Roman"/>
          <w:sz w:val="24"/>
          <w:szCs w:val="24"/>
        </w:rPr>
        <w:t>„private/asigurătorului”</w:t>
      </w:r>
      <w:r w:rsidR="00EF1701"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="00172FDA" w:rsidRPr="00051B77">
        <w:rPr>
          <w:rFonts w:ascii="Times New Roman" w:hAnsi="Times New Roman" w:cs="Times New Roman"/>
          <w:sz w:val="24"/>
          <w:szCs w:val="24"/>
        </w:rPr>
        <w:t>se exclude</w:t>
      </w:r>
      <w:r w:rsidR="003300FA" w:rsidRPr="00051B77">
        <w:rPr>
          <w:rFonts w:ascii="Times New Roman" w:hAnsi="Times New Roman" w:cs="Times New Roman"/>
          <w:sz w:val="24"/>
          <w:szCs w:val="24"/>
        </w:rPr>
        <w:t>;</w:t>
      </w:r>
    </w:p>
    <w:p w14:paraId="11E6687D" w14:textId="77777777" w:rsidR="00A45EEB" w:rsidRPr="00051B77" w:rsidRDefault="00527936" w:rsidP="00AC10EE">
      <w:pPr>
        <w:pStyle w:val="ListParagraph"/>
        <w:numPr>
          <w:ilvl w:val="3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>la compartimentul 5.3</w:t>
      </w:r>
      <w:r w:rsidR="00A45EEB" w:rsidRPr="00051B77">
        <w:rPr>
          <w:rFonts w:ascii="Times New Roman" w:hAnsi="Times New Roman" w:cs="Times New Roman"/>
          <w:sz w:val="24"/>
          <w:szCs w:val="24"/>
        </w:rPr>
        <w:t>:</w:t>
      </w:r>
    </w:p>
    <w:p w14:paraId="3BE1F235" w14:textId="63638E1F" w:rsidR="00A45EEB" w:rsidRPr="00BC4C54" w:rsidRDefault="007A0175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C54">
        <w:rPr>
          <w:rFonts w:ascii="Times New Roman" w:hAnsi="Times New Roman" w:cs="Times New Roman"/>
          <w:sz w:val="24"/>
          <w:szCs w:val="24"/>
        </w:rPr>
        <w:t>textul „1)</w:t>
      </w:r>
      <w:r w:rsidR="0022515D" w:rsidRPr="00BC4C54">
        <w:rPr>
          <w:rFonts w:ascii="Times New Roman" w:hAnsi="Times New Roman" w:cs="Times New Roman"/>
          <w:sz w:val="24"/>
          <w:szCs w:val="24"/>
        </w:rPr>
        <w:t xml:space="preserve"> </w:t>
      </w:r>
      <w:r w:rsidRPr="00BC4C54">
        <w:rPr>
          <w:rFonts w:ascii="Times New Roman" w:hAnsi="Times New Roman" w:cs="Times New Roman"/>
          <w:sz w:val="24"/>
          <w:szCs w:val="24"/>
        </w:rPr>
        <w:t>în cazul persoanelor fizice”</w:t>
      </w:r>
      <w:r w:rsidR="00A45EEB" w:rsidRPr="00BC4C54">
        <w:rPr>
          <w:rFonts w:ascii="Times New Roman" w:hAnsi="Times New Roman" w:cs="Times New Roman"/>
          <w:sz w:val="24"/>
          <w:szCs w:val="24"/>
        </w:rPr>
        <w:t xml:space="preserve"> se exclude</w:t>
      </w:r>
      <w:r w:rsidR="003300FA" w:rsidRPr="00BC4C54">
        <w:rPr>
          <w:rFonts w:ascii="Times New Roman" w:hAnsi="Times New Roman" w:cs="Times New Roman"/>
          <w:sz w:val="24"/>
          <w:szCs w:val="24"/>
        </w:rPr>
        <w:t>;</w:t>
      </w:r>
    </w:p>
    <w:p w14:paraId="70E3E59A" w14:textId="30C93087" w:rsidR="00A45EEB" w:rsidRPr="00051B77" w:rsidRDefault="00A45EEB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>tabelul cu denumirea „2) în cazul persoanelor juridice”</w:t>
      </w:r>
      <w:r w:rsidR="00B27E5E"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="003300FA" w:rsidRPr="00051B77">
        <w:rPr>
          <w:rFonts w:ascii="Times New Roman" w:hAnsi="Times New Roman" w:cs="Times New Roman"/>
          <w:sz w:val="24"/>
          <w:szCs w:val="24"/>
        </w:rPr>
        <w:t xml:space="preserve">și </w:t>
      </w:r>
      <w:r w:rsidRPr="00051B77">
        <w:rPr>
          <w:rFonts w:ascii="Times New Roman" w:hAnsi="Times New Roman" w:cs="Times New Roman"/>
          <w:sz w:val="24"/>
          <w:szCs w:val="24"/>
        </w:rPr>
        <w:t xml:space="preserve">textul „* În cazul persoanelor juridice nerezidente, se indică numărul de identificare/înregistrare de stat atribuit de către organul abilitat din </w:t>
      </w:r>
      <w:proofErr w:type="spellStart"/>
      <w:r w:rsidRPr="00051B77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051B77">
        <w:rPr>
          <w:rFonts w:ascii="Times New Roman" w:hAnsi="Times New Roman" w:cs="Times New Roman"/>
          <w:sz w:val="24"/>
          <w:szCs w:val="24"/>
        </w:rPr>
        <w:t xml:space="preserve"> de origine a nerezidentului.” se exclud;</w:t>
      </w:r>
    </w:p>
    <w:p w14:paraId="54E9C3AD" w14:textId="77777777" w:rsidR="007B7A00" w:rsidRPr="00051B77" w:rsidRDefault="00527936" w:rsidP="00AC10EE">
      <w:pPr>
        <w:pStyle w:val="ListParagraph"/>
        <w:numPr>
          <w:ilvl w:val="3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>la compartimentul 5.3</w:t>
      </w:r>
      <w:r w:rsidR="002167EA" w:rsidRPr="00051B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7A00" w:rsidRPr="00051B7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6D2ED6C" w14:textId="1997AD10" w:rsidR="009A2FAA" w:rsidRPr="00BC4C54" w:rsidRDefault="007B7A00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C54">
        <w:rPr>
          <w:rFonts w:ascii="Times New Roman" w:hAnsi="Times New Roman" w:cs="Times New Roman"/>
          <w:sz w:val="24"/>
          <w:szCs w:val="24"/>
        </w:rPr>
        <w:t>în denumire</w:t>
      </w:r>
      <w:r w:rsidR="003300FA" w:rsidRPr="00BC4C54">
        <w:rPr>
          <w:rFonts w:ascii="Times New Roman" w:hAnsi="Times New Roman" w:cs="Times New Roman"/>
          <w:sz w:val="24"/>
          <w:szCs w:val="24"/>
        </w:rPr>
        <w:t xml:space="preserve"> și în prima propoziție</w:t>
      </w:r>
      <w:r w:rsidR="00C06C8F" w:rsidRPr="00BC4C54">
        <w:rPr>
          <w:rFonts w:ascii="Times New Roman" w:hAnsi="Times New Roman" w:cs="Times New Roman"/>
          <w:sz w:val="24"/>
          <w:szCs w:val="24"/>
        </w:rPr>
        <w:t>,</w:t>
      </w:r>
      <w:r w:rsidRPr="00BC4C54">
        <w:rPr>
          <w:rFonts w:ascii="Times New Roman" w:hAnsi="Times New Roman" w:cs="Times New Roman"/>
          <w:sz w:val="24"/>
          <w:szCs w:val="24"/>
        </w:rPr>
        <w:t xml:space="preserve"> textul „alt” se exclude;</w:t>
      </w:r>
      <w:r w:rsidR="00A45EEB" w:rsidRPr="00BC4C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6471A14" w14:textId="521DD55F" w:rsidR="0095591E" w:rsidRDefault="0095591E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16162895"/>
      <w:r w:rsidRPr="00051B77">
        <w:rPr>
          <w:rFonts w:ascii="Times New Roman" w:hAnsi="Times New Roman" w:cs="Times New Roman"/>
          <w:sz w:val="24"/>
          <w:szCs w:val="24"/>
        </w:rPr>
        <w:t>tabel</w:t>
      </w:r>
      <w:r w:rsidR="003300FA" w:rsidRPr="00051B77">
        <w:rPr>
          <w:rFonts w:ascii="Times New Roman" w:hAnsi="Times New Roman" w:cs="Times New Roman"/>
          <w:sz w:val="24"/>
          <w:szCs w:val="24"/>
        </w:rPr>
        <w:t>u</w:t>
      </w:r>
      <w:r w:rsidR="000670D7" w:rsidRPr="00051B77">
        <w:rPr>
          <w:rFonts w:ascii="Times New Roman" w:hAnsi="Times New Roman" w:cs="Times New Roman"/>
          <w:sz w:val="24"/>
          <w:szCs w:val="24"/>
        </w:rPr>
        <w:t>l</w:t>
      </w:r>
      <w:r w:rsidR="003300FA" w:rsidRPr="00051B77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231998572"/>
      <w:r w:rsidR="00EE049A">
        <w:rPr>
          <w:rFonts w:ascii="Times New Roman" w:hAnsi="Times New Roman" w:cs="Times New Roman"/>
          <w:sz w:val="24"/>
          <w:szCs w:val="24"/>
        </w:rPr>
        <w:t>va avea</w:t>
      </w:r>
      <w:r w:rsidR="003300FA"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="00EE049A" w:rsidRPr="00EE049A">
        <w:rPr>
          <w:rFonts w:ascii="Times New Roman" w:hAnsi="Times New Roman" w:cs="Times New Roman"/>
          <w:sz w:val="24"/>
          <w:szCs w:val="24"/>
        </w:rPr>
        <w:t>următorul cuprins</w:t>
      </w:r>
      <w:bookmarkEnd w:id="15"/>
      <w:r w:rsidRPr="00051B77">
        <w:rPr>
          <w:rFonts w:ascii="Times New Roman" w:hAnsi="Times New Roman" w:cs="Times New Roman"/>
          <w:sz w:val="24"/>
          <w:szCs w:val="24"/>
        </w:rPr>
        <w:t>:</w:t>
      </w:r>
    </w:p>
    <w:p w14:paraId="2FD70EB1" w14:textId="77777777" w:rsidR="00BC4C54" w:rsidRPr="00051B77" w:rsidRDefault="00BC4C54" w:rsidP="00051B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63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275"/>
        <w:gridCol w:w="1702"/>
        <w:gridCol w:w="1560"/>
        <w:gridCol w:w="1432"/>
      </w:tblGrid>
      <w:tr w:rsidR="00923196" w:rsidRPr="00051B77" w14:paraId="2FA98DED" w14:textId="77777777" w:rsidTr="00796425">
        <w:trPr>
          <w:trHeight w:val="848"/>
          <w:jc w:val="center"/>
        </w:trPr>
        <w:tc>
          <w:tcPr>
            <w:tcW w:w="15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E4ACB" w14:textId="77777777" w:rsidR="00923196" w:rsidRPr="00051B77" w:rsidRDefault="00923196" w:rsidP="0092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Denumirea asigurătorului/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reasigurătorului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/ intermediarului în asigurări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şi</w:t>
            </w:r>
            <w:proofErr w:type="spellEnd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/sau în reasigurări</w:t>
            </w:r>
          </w:p>
        </w:tc>
        <w:tc>
          <w:tcPr>
            <w:tcW w:w="3448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81A65" w14:textId="77777777" w:rsidR="00923196" w:rsidRPr="00051B77" w:rsidRDefault="00923196" w:rsidP="0092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 Participația / cota-parte deținută </w:t>
            </w:r>
          </w:p>
        </w:tc>
      </w:tr>
      <w:tr w:rsidR="00923196" w:rsidRPr="00051B77" w14:paraId="3BDEC3F3" w14:textId="77777777" w:rsidTr="00796425">
        <w:trPr>
          <w:trHeight w:val="574"/>
          <w:jc w:val="center"/>
        </w:trPr>
        <w:tc>
          <w:tcPr>
            <w:tcW w:w="15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B6930B" w14:textId="77777777" w:rsidR="00923196" w:rsidRPr="00051B77" w:rsidRDefault="00923196" w:rsidP="0092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33CD95" w14:textId="77777777" w:rsidR="00923196" w:rsidRPr="00051B77" w:rsidDel="00B97F4A" w:rsidRDefault="00923196" w:rsidP="0092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mărimea relativă (%)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62BCFF" w14:textId="77777777" w:rsidR="00923196" w:rsidRPr="00051B77" w:rsidDel="00B97F4A" w:rsidRDefault="00923196" w:rsidP="0092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valoarea nominală (lei)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F963D1" w14:textId="77777777" w:rsidR="00923196" w:rsidRPr="00051B77" w:rsidDel="00B97F4A" w:rsidRDefault="00923196" w:rsidP="0092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numărul de acțiuni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F773952" w14:textId="77777777" w:rsidR="00923196" w:rsidRPr="00051B77" w:rsidDel="00B97F4A" w:rsidRDefault="00923196" w:rsidP="0092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 xml:space="preserve">perioada </w:t>
            </w:r>
            <w:proofErr w:type="spellStart"/>
            <w:r w:rsidRPr="00051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MD"/>
              </w:rPr>
              <w:t>deţinerii</w:t>
            </w:r>
            <w:proofErr w:type="spellEnd"/>
          </w:p>
        </w:tc>
      </w:tr>
      <w:tr w:rsidR="00923196" w:rsidRPr="00051B77" w14:paraId="2531C6DC" w14:textId="77777777" w:rsidTr="00796425">
        <w:trPr>
          <w:jc w:val="center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00DDA" w14:textId="77777777" w:rsidR="00923196" w:rsidRPr="00051B77" w:rsidRDefault="00923196" w:rsidP="0092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 </w:t>
            </w:r>
          </w:p>
        </w:tc>
        <w:tc>
          <w:tcPr>
            <w:tcW w:w="34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05676" w14:textId="77777777" w:rsidR="00923196" w:rsidRPr="00051B77" w:rsidRDefault="00923196" w:rsidP="0092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 </w:t>
            </w:r>
          </w:p>
        </w:tc>
      </w:tr>
      <w:tr w:rsidR="00923196" w:rsidRPr="00051B77" w14:paraId="3D2B258B" w14:textId="77777777" w:rsidTr="00796425">
        <w:trPr>
          <w:jc w:val="center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69F2C" w14:textId="77777777" w:rsidR="00923196" w:rsidRPr="00051B77" w:rsidRDefault="00923196" w:rsidP="0092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 </w:t>
            </w:r>
          </w:p>
        </w:tc>
        <w:tc>
          <w:tcPr>
            <w:tcW w:w="34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505C4" w14:textId="77777777" w:rsidR="00923196" w:rsidRPr="00051B77" w:rsidRDefault="00923196" w:rsidP="0092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</w:pPr>
            <w:r w:rsidRPr="00051B77">
              <w:rPr>
                <w:rFonts w:ascii="Times New Roman" w:eastAsia="Times New Roman" w:hAnsi="Times New Roman" w:cs="Times New Roman"/>
                <w:sz w:val="24"/>
                <w:szCs w:val="24"/>
                <w:lang w:eastAsia="ro-MD"/>
              </w:rPr>
              <w:t> </w:t>
            </w:r>
          </w:p>
        </w:tc>
      </w:tr>
    </w:tbl>
    <w:p w14:paraId="503B5A71" w14:textId="77777777" w:rsidR="003300FA" w:rsidRPr="00051B77" w:rsidRDefault="003300FA" w:rsidP="003300F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3E79443C" w14:textId="60426C3A" w:rsidR="00693A2D" w:rsidRPr="00051B77" w:rsidRDefault="00AC10EE" w:rsidP="00AC10EE">
      <w:pPr>
        <w:pStyle w:val="ListParagraph"/>
        <w:numPr>
          <w:ilvl w:val="3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936" w:rsidRPr="00051B77">
        <w:rPr>
          <w:rFonts w:ascii="Times New Roman" w:hAnsi="Times New Roman" w:cs="Times New Roman"/>
          <w:sz w:val="24"/>
          <w:szCs w:val="24"/>
        </w:rPr>
        <w:t xml:space="preserve">la compartimentul </w:t>
      </w:r>
      <w:r w:rsidR="0047164F" w:rsidRPr="00051B77">
        <w:rPr>
          <w:rFonts w:ascii="Times New Roman" w:hAnsi="Times New Roman" w:cs="Times New Roman"/>
          <w:sz w:val="24"/>
          <w:szCs w:val="24"/>
        </w:rPr>
        <w:t>5.5</w:t>
      </w:r>
      <w:r w:rsidR="00693A2D" w:rsidRPr="00051B77">
        <w:rPr>
          <w:rFonts w:ascii="Times New Roman" w:hAnsi="Times New Roman" w:cs="Times New Roman"/>
          <w:sz w:val="24"/>
          <w:szCs w:val="24"/>
        </w:rPr>
        <w:t>:</w:t>
      </w:r>
    </w:p>
    <w:p w14:paraId="48A3E24D" w14:textId="22B35B7C" w:rsidR="0077342A" w:rsidRPr="00BC4C54" w:rsidRDefault="0077342A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16167783"/>
      <w:r w:rsidRPr="00BC4C54">
        <w:rPr>
          <w:rFonts w:ascii="Times New Roman" w:hAnsi="Times New Roman" w:cs="Times New Roman"/>
          <w:sz w:val="24"/>
          <w:szCs w:val="24"/>
        </w:rPr>
        <w:t xml:space="preserve">în prima propoziție, după textul „Funcția” se </w:t>
      </w:r>
      <w:r w:rsidR="000F21A7" w:rsidRPr="00BC4C54">
        <w:rPr>
          <w:rFonts w:ascii="Times New Roman" w:hAnsi="Times New Roman" w:cs="Times New Roman"/>
          <w:sz w:val="24"/>
          <w:szCs w:val="24"/>
        </w:rPr>
        <w:t>completează</w:t>
      </w:r>
      <w:r w:rsidRPr="00BC4C54">
        <w:rPr>
          <w:rFonts w:ascii="Times New Roman" w:hAnsi="Times New Roman" w:cs="Times New Roman"/>
          <w:sz w:val="24"/>
          <w:szCs w:val="24"/>
        </w:rPr>
        <w:t xml:space="preserve"> cu textul „cheie, </w:t>
      </w:r>
      <w:r w:rsidR="0065124E" w:rsidRPr="00BC4C54">
        <w:rPr>
          <w:rFonts w:ascii="Times New Roman" w:hAnsi="Times New Roman" w:cs="Times New Roman"/>
          <w:sz w:val="24"/>
          <w:szCs w:val="24"/>
        </w:rPr>
        <w:t xml:space="preserve">funcția </w:t>
      </w:r>
      <w:r w:rsidRPr="00BC4C54">
        <w:rPr>
          <w:rFonts w:ascii="Times New Roman" w:hAnsi="Times New Roman" w:cs="Times New Roman"/>
          <w:sz w:val="24"/>
          <w:szCs w:val="24"/>
        </w:rPr>
        <w:t xml:space="preserve">de conducător al sucursalei unui asigurator din statul terț,”; </w:t>
      </w:r>
      <w:bookmarkEnd w:id="16"/>
    </w:p>
    <w:p w14:paraId="7A30266F" w14:textId="5D8F7BD8" w:rsidR="0077342A" w:rsidRPr="00051B77" w:rsidRDefault="000663F4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a </w:t>
      </w:r>
      <w:r w:rsidR="0077342A" w:rsidRPr="00051B77">
        <w:rPr>
          <w:rFonts w:ascii="Times New Roman" w:hAnsi="Times New Roman" w:cs="Times New Roman"/>
          <w:sz w:val="24"/>
          <w:szCs w:val="24"/>
        </w:rPr>
        <w:t xml:space="preserve">doua propoziție </w:t>
      </w:r>
      <w:r w:rsidR="00EE049A">
        <w:rPr>
          <w:rFonts w:ascii="Times New Roman" w:hAnsi="Times New Roman" w:cs="Times New Roman"/>
          <w:sz w:val="24"/>
          <w:szCs w:val="24"/>
        </w:rPr>
        <w:t xml:space="preserve">va avea </w:t>
      </w:r>
      <w:r w:rsidR="00EE049A" w:rsidRPr="00EE049A">
        <w:rPr>
          <w:rFonts w:ascii="Times New Roman" w:hAnsi="Times New Roman" w:cs="Times New Roman"/>
          <w:sz w:val="24"/>
          <w:szCs w:val="24"/>
        </w:rPr>
        <w:t>următorul cuprins</w:t>
      </w:r>
      <w:r w:rsidR="0077342A" w:rsidRPr="00051B77">
        <w:rPr>
          <w:rFonts w:ascii="Times New Roman" w:hAnsi="Times New Roman" w:cs="Times New Roman"/>
          <w:sz w:val="24"/>
          <w:szCs w:val="24"/>
        </w:rPr>
        <w:t xml:space="preserve">: „În cazul unui răspuns afirmativ, </w:t>
      </w:r>
      <w:proofErr w:type="spellStart"/>
      <w:r w:rsidR="0077342A" w:rsidRPr="00051B77">
        <w:rPr>
          <w:rFonts w:ascii="Times New Roman" w:hAnsi="Times New Roman" w:cs="Times New Roman"/>
          <w:sz w:val="24"/>
          <w:szCs w:val="24"/>
        </w:rPr>
        <w:t>specificaţi</w:t>
      </w:r>
      <w:proofErr w:type="spellEnd"/>
      <w:r w:rsidR="0077342A" w:rsidRPr="00051B77">
        <w:rPr>
          <w:rFonts w:ascii="Times New Roman" w:hAnsi="Times New Roman" w:cs="Times New Roman"/>
          <w:sz w:val="24"/>
          <w:szCs w:val="24"/>
        </w:rPr>
        <w:t xml:space="preserve"> mai jos următoarea </w:t>
      </w:r>
      <w:proofErr w:type="spellStart"/>
      <w:r w:rsidR="0077342A" w:rsidRPr="00051B77">
        <w:rPr>
          <w:rFonts w:ascii="Times New Roman" w:hAnsi="Times New Roman" w:cs="Times New Roman"/>
          <w:sz w:val="24"/>
          <w:szCs w:val="24"/>
        </w:rPr>
        <w:t>informaţie</w:t>
      </w:r>
      <w:proofErr w:type="spellEnd"/>
      <w:r w:rsidR="0077342A" w:rsidRPr="00051B77">
        <w:rPr>
          <w:rFonts w:ascii="Times New Roman" w:hAnsi="Times New Roman" w:cs="Times New Roman"/>
          <w:sz w:val="24"/>
          <w:szCs w:val="24"/>
        </w:rPr>
        <w:t xml:space="preserve"> (fiecare funcție exercitată în cadrul asigurătorului, urmate de funcțiile exercitate în cadrul altor entități, iar în ultima coloană </w:t>
      </w:r>
      <w:proofErr w:type="spellStart"/>
      <w:r w:rsidR="0077342A" w:rsidRPr="00051B77">
        <w:rPr>
          <w:rFonts w:ascii="Times New Roman" w:hAnsi="Times New Roman" w:cs="Times New Roman"/>
          <w:sz w:val="24"/>
          <w:szCs w:val="24"/>
        </w:rPr>
        <w:t>indicaţi</w:t>
      </w:r>
      <w:proofErr w:type="spellEnd"/>
      <w:r w:rsidR="0077342A" w:rsidRPr="00051B77">
        <w:rPr>
          <w:rFonts w:ascii="Times New Roman" w:hAnsi="Times New Roman" w:cs="Times New Roman"/>
          <w:sz w:val="24"/>
          <w:szCs w:val="24"/>
        </w:rPr>
        <w:t xml:space="preserve"> timpul/numărul de ore alocat lunar </w:t>
      </w:r>
      <w:proofErr w:type="spellStart"/>
      <w:r w:rsidR="0077342A" w:rsidRPr="00051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7342A" w:rsidRPr="00051B77">
        <w:rPr>
          <w:rFonts w:ascii="Times New Roman" w:hAnsi="Times New Roman" w:cs="Times New Roman"/>
          <w:sz w:val="24"/>
          <w:szCs w:val="24"/>
        </w:rPr>
        <w:t xml:space="preserve"> argumentați dacă </w:t>
      </w:r>
      <w:proofErr w:type="spellStart"/>
      <w:r w:rsidR="0077342A" w:rsidRPr="00051B77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="0077342A" w:rsidRPr="00051B77">
        <w:rPr>
          <w:rFonts w:ascii="Times New Roman" w:hAnsi="Times New Roman" w:cs="Times New Roman"/>
          <w:sz w:val="24"/>
          <w:szCs w:val="24"/>
        </w:rPr>
        <w:t xml:space="preserve"> dată va genera </w:t>
      </w:r>
      <w:r w:rsidR="00DC613D" w:rsidRPr="00051B77">
        <w:rPr>
          <w:rFonts w:ascii="Times New Roman" w:hAnsi="Times New Roman" w:cs="Times New Roman"/>
          <w:sz w:val="24"/>
          <w:szCs w:val="24"/>
        </w:rPr>
        <w:t xml:space="preserve">sau nu </w:t>
      </w:r>
      <w:r w:rsidR="0077342A" w:rsidRPr="00051B77">
        <w:rPr>
          <w:rFonts w:ascii="Times New Roman" w:hAnsi="Times New Roman" w:cs="Times New Roman"/>
          <w:sz w:val="24"/>
          <w:szCs w:val="24"/>
        </w:rPr>
        <w:t xml:space="preserve">anumite conflicte </w:t>
      </w:r>
      <w:r w:rsidR="00DC613D" w:rsidRPr="00051B77">
        <w:rPr>
          <w:rFonts w:ascii="Times New Roman" w:hAnsi="Times New Roman" w:cs="Times New Roman"/>
          <w:sz w:val="24"/>
          <w:szCs w:val="24"/>
        </w:rPr>
        <w:t>privind</w:t>
      </w:r>
      <w:r w:rsidR="0077342A"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="00DC613D" w:rsidRPr="00051B77">
        <w:rPr>
          <w:rFonts w:ascii="Times New Roman" w:hAnsi="Times New Roman" w:cs="Times New Roman"/>
          <w:sz w:val="24"/>
          <w:szCs w:val="24"/>
        </w:rPr>
        <w:t>alocarea</w:t>
      </w:r>
      <w:r w:rsidR="0077342A" w:rsidRPr="00051B77">
        <w:rPr>
          <w:rFonts w:ascii="Times New Roman" w:hAnsi="Times New Roman" w:cs="Times New Roman"/>
          <w:sz w:val="24"/>
          <w:szCs w:val="24"/>
        </w:rPr>
        <w:t xml:space="preserve"> de timp cu cea exercitat</w:t>
      </w:r>
      <w:r w:rsidR="00DC613D" w:rsidRPr="00051B77">
        <w:rPr>
          <w:rFonts w:ascii="Times New Roman" w:hAnsi="Times New Roman" w:cs="Times New Roman"/>
          <w:sz w:val="24"/>
          <w:szCs w:val="24"/>
        </w:rPr>
        <w:t>ă</w:t>
      </w:r>
      <w:r w:rsidR="0077342A" w:rsidRPr="00051B77">
        <w:rPr>
          <w:rFonts w:ascii="Times New Roman" w:hAnsi="Times New Roman" w:cs="Times New Roman"/>
          <w:sz w:val="24"/>
          <w:szCs w:val="24"/>
        </w:rPr>
        <w:t xml:space="preserve"> în cadrul asigurătorului).”;</w:t>
      </w:r>
    </w:p>
    <w:p w14:paraId="267E5408" w14:textId="3F84C556" w:rsidR="00DC613D" w:rsidRPr="00051B77" w:rsidRDefault="00DC613D" w:rsidP="00AC10EE">
      <w:pPr>
        <w:pStyle w:val="ListParagraph"/>
        <w:numPr>
          <w:ilvl w:val="4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>în tabel:</w:t>
      </w:r>
    </w:p>
    <w:p w14:paraId="576A81AF" w14:textId="37D0B280" w:rsidR="00DC613D" w:rsidRPr="00BC4C54" w:rsidRDefault="00DC613D" w:rsidP="00AC10EE">
      <w:pPr>
        <w:pStyle w:val="ListParagraph"/>
        <w:numPr>
          <w:ilvl w:val="5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30005895"/>
      <w:r w:rsidRPr="00BC4C54">
        <w:rPr>
          <w:rFonts w:ascii="Times New Roman" w:hAnsi="Times New Roman" w:cs="Times New Roman"/>
          <w:sz w:val="24"/>
          <w:szCs w:val="24"/>
        </w:rPr>
        <w:t xml:space="preserve">denumirea coloanei a 1-a </w:t>
      </w:r>
      <w:r w:rsidR="00EE049A">
        <w:rPr>
          <w:rFonts w:ascii="Times New Roman" w:hAnsi="Times New Roman" w:cs="Times New Roman"/>
          <w:sz w:val="24"/>
          <w:szCs w:val="24"/>
        </w:rPr>
        <w:t xml:space="preserve">va avea </w:t>
      </w:r>
      <w:r w:rsidR="00EE049A" w:rsidRPr="00EE049A">
        <w:rPr>
          <w:rFonts w:ascii="Times New Roman" w:hAnsi="Times New Roman" w:cs="Times New Roman"/>
          <w:sz w:val="24"/>
          <w:szCs w:val="24"/>
        </w:rPr>
        <w:t>următorul cuprins</w:t>
      </w:r>
      <w:r w:rsidRPr="00BC4C54">
        <w:rPr>
          <w:rFonts w:ascii="Times New Roman" w:hAnsi="Times New Roman" w:cs="Times New Roman"/>
          <w:sz w:val="24"/>
          <w:szCs w:val="24"/>
        </w:rPr>
        <w:t xml:space="preserve">: „Denumirea persoanelor juridice în care persoana înaintată </w:t>
      </w:r>
      <w:proofErr w:type="spellStart"/>
      <w:r w:rsidRPr="00BC4C54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BC4C5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C4C54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BC4C54">
        <w:rPr>
          <w:rFonts w:ascii="Times New Roman" w:hAnsi="Times New Roman" w:cs="Times New Roman"/>
          <w:sz w:val="24"/>
          <w:szCs w:val="24"/>
        </w:rPr>
        <w:t>”;</w:t>
      </w:r>
      <w:bookmarkEnd w:id="17"/>
    </w:p>
    <w:p w14:paraId="55D3CB0A" w14:textId="2DBC1657" w:rsidR="00DC613D" w:rsidRPr="00051B77" w:rsidRDefault="00DC613D" w:rsidP="00AC10EE">
      <w:pPr>
        <w:pStyle w:val="ListParagraph"/>
        <w:numPr>
          <w:ilvl w:val="5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denumirea coloanei a </w:t>
      </w:r>
      <w:r w:rsidR="00412F12" w:rsidRPr="00051B77">
        <w:rPr>
          <w:rFonts w:ascii="Times New Roman" w:hAnsi="Times New Roman" w:cs="Times New Roman"/>
          <w:sz w:val="24"/>
          <w:szCs w:val="24"/>
        </w:rPr>
        <w:t>4</w:t>
      </w:r>
      <w:r w:rsidRPr="00051B77">
        <w:rPr>
          <w:rFonts w:ascii="Times New Roman" w:hAnsi="Times New Roman" w:cs="Times New Roman"/>
          <w:sz w:val="24"/>
          <w:szCs w:val="24"/>
        </w:rPr>
        <w:t xml:space="preserve">-a </w:t>
      </w:r>
      <w:r w:rsidR="00EE049A">
        <w:rPr>
          <w:rFonts w:ascii="Times New Roman" w:hAnsi="Times New Roman" w:cs="Times New Roman"/>
          <w:sz w:val="24"/>
          <w:szCs w:val="24"/>
        </w:rPr>
        <w:t xml:space="preserve">va avea </w:t>
      </w:r>
      <w:r w:rsidR="00EE049A" w:rsidRPr="00EE049A">
        <w:rPr>
          <w:rFonts w:ascii="Times New Roman" w:hAnsi="Times New Roman" w:cs="Times New Roman"/>
          <w:sz w:val="24"/>
          <w:szCs w:val="24"/>
        </w:rPr>
        <w:t>următorul cuprins</w:t>
      </w:r>
      <w:r w:rsidRPr="00051B77">
        <w:rPr>
          <w:rFonts w:ascii="Times New Roman" w:hAnsi="Times New Roman" w:cs="Times New Roman"/>
          <w:sz w:val="24"/>
          <w:szCs w:val="24"/>
        </w:rPr>
        <w:t>: „Conflicte privind alocarea de timp sau lipsa acestora”;</w:t>
      </w:r>
    </w:p>
    <w:p w14:paraId="4915E8C1" w14:textId="23B1C7AC" w:rsidR="00C92383" w:rsidRPr="00051B77" w:rsidRDefault="00C92383" w:rsidP="00AC10EE">
      <w:pPr>
        <w:pStyle w:val="ListParagraph"/>
        <w:numPr>
          <w:ilvl w:val="3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la compartimentul 5.6, </w:t>
      </w:r>
      <w:r w:rsidR="007A1D0D" w:rsidRPr="00051B77">
        <w:rPr>
          <w:rFonts w:ascii="Times New Roman" w:hAnsi="Times New Roman" w:cs="Times New Roman"/>
          <w:sz w:val="24"/>
          <w:szCs w:val="24"/>
        </w:rPr>
        <w:t xml:space="preserve">coloana </w:t>
      </w:r>
      <w:r w:rsidR="00412F12" w:rsidRPr="00051B77">
        <w:rPr>
          <w:rFonts w:ascii="Times New Roman" w:hAnsi="Times New Roman" w:cs="Times New Roman"/>
          <w:sz w:val="24"/>
          <w:szCs w:val="24"/>
        </w:rPr>
        <w:t xml:space="preserve">1-a a tabelului </w:t>
      </w:r>
      <w:r w:rsidR="00EE049A">
        <w:rPr>
          <w:rFonts w:ascii="Times New Roman" w:hAnsi="Times New Roman" w:cs="Times New Roman"/>
          <w:sz w:val="24"/>
          <w:szCs w:val="24"/>
        </w:rPr>
        <w:t xml:space="preserve">va avea </w:t>
      </w:r>
      <w:r w:rsidR="00EE049A" w:rsidRPr="00EE049A">
        <w:rPr>
          <w:rFonts w:ascii="Times New Roman" w:hAnsi="Times New Roman" w:cs="Times New Roman"/>
          <w:sz w:val="24"/>
          <w:szCs w:val="24"/>
        </w:rPr>
        <w:t>următorul cuprins</w:t>
      </w:r>
      <w:r w:rsidR="00412F12" w:rsidRPr="00051B77">
        <w:rPr>
          <w:rFonts w:ascii="Times New Roman" w:hAnsi="Times New Roman" w:cs="Times New Roman"/>
          <w:sz w:val="24"/>
          <w:szCs w:val="24"/>
        </w:rPr>
        <w:t xml:space="preserve">: „Denumirea persoanei juridice în care </w:t>
      </w:r>
      <w:r w:rsidR="00861CB1" w:rsidRPr="00051B77">
        <w:rPr>
          <w:rFonts w:ascii="Times New Roman" w:hAnsi="Times New Roman" w:cs="Times New Roman"/>
          <w:sz w:val="24"/>
          <w:szCs w:val="24"/>
        </w:rPr>
        <w:t>sunteți angajat</w:t>
      </w:r>
      <w:r w:rsidR="00412F12" w:rsidRPr="00051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12F12" w:rsidRPr="00051B77">
        <w:rPr>
          <w:rFonts w:ascii="Times New Roman" w:hAnsi="Times New Roman" w:cs="Times New Roman"/>
          <w:sz w:val="24"/>
          <w:szCs w:val="24"/>
        </w:rPr>
        <w:t>deţineţi</w:t>
      </w:r>
      <w:proofErr w:type="spellEnd"/>
      <w:r w:rsidR="00412F12" w:rsidRPr="00051B77">
        <w:rPr>
          <w:rFonts w:ascii="Times New Roman" w:hAnsi="Times New Roman" w:cs="Times New Roman"/>
          <w:sz w:val="24"/>
          <w:szCs w:val="24"/>
        </w:rPr>
        <w:t xml:space="preserve"> cote”, iar coloana </w:t>
      </w:r>
      <w:r w:rsidRPr="00051B77">
        <w:rPr>
          <w:rFonts w:ascii="Times New Roman" w:hAnsi="Times New Roman" w:cs="Times New Roman"/>
          <w:sz w:val="24"/>
          <w:szCs w:val="24"/>
        </w:rPr>
        <w:t>a 3-a</w:t>
      </w:r>
      <w:r w:rsidR="007A1D0D" w:rsidRPr="00051B77">
        <w:rPr>
          <w:rFonts w:ascii="Times New Roman" w:hAnsi="Times New Roman" w:cs="Times New Roman"/>
          <w:sz w:val="24"/>
          <w:szCs w:val="24"/>
        </w:rPr>
        <w:t>:</w:t>
      </w:r>
      <w:r w:rsidRPr="00051B77">
        <w:rPr>
          <w:rFonts w:ascii="Times New Roman" w:hAnsi="Times New Roman" w:cs="Times New Roman"/>
          <w:sz w:val="24"/>
          <w:szCs w:val="24"/>
        </w:rPr>
        <w:t xml:space="preserve"> „</w:t>
      </w:r>
      <w:r w:rsidR="00DC613D" w:rsidRPr="00051B77">
        <w:rPr>
          <w:rFonts w:ascii="Times New Roman" w:hAnsi="Times New Roman" w:cs="Times New Roman"/>
          <w:sz w:val="24"/>
          <w:szCs w:val="24"/>
        </w:rPr>
        <w:t>I</w:t>
      </w:r>
      <w:r w:rsidR="007A1D0D" w:rsidRPr="00051B77">
        <w:rPr>
          <w:rFonts w:ascii="Times New Roman" w:hAnsi="Times New Roman" w:cs="Times New Roman"/>
          <w:sz w:val="24"/>
          <w:szCs w:val="24"/>
        </w:rPr>
        <w:t xml:space="preserve">nformații referitoare la conflict </w:t>
      </w:r>
      <w:r w:rsidRPr="00051B77">
        <w:rPr>
          <w:rFonts w:ascii="Times New Roman" w:hAnsi="Times New Roman" w:cs="Times New Roman"/>
          <w:sz w:val="24"/>
          <w:szCs w:val="24"/>
        </w:rPr>
        <w:t xml:space="preserve">și măsurile </w:t>
      </w:r>
      <w:r w:rsidR="00DC613D" w:rsidRPr="00051B77">
        <w:rPr>
          <w:rFonts w:ascii="Times New Roman" w:hAnsi="Times New Roman" w:cs="Times New Roman"/>
          <w:sz w:val="24"/>
          <w:szCs w:val="24"/>
        </w:rPr>
        <w:t>întreprinse</w:t>
      </w:r>
      <w:r w:rsidRPr="00051B77">
        <w:rPr>
          <w:rFonts w:ascii="Times New Roman" w:hAnsi="Times New Roman" w:cs="Times New Roman"/>
          <w:sz w:val="24"/>
          <w:szCs w:val="24"/>
        </w:rPr>
        <w:t xml:space="preserve"> pentru </w:t>
      </w:r>
      <w:r w:rsidR="0065124E" w:rsidRPr="00051B77">
        <w:rPr>
          <w:rFonts w:ascii="Times New Roman" w:hAnsi="Times New Roman" w:cs="Times New Roman"/>
          <w:sz w:val="24"/>
          <w:szCs w:val="24"/>
        </w:rPr>
        <w:t>solu</w:t>
      </w:r>
      <w:r w:rsidR="00D82953" w:rsidRPr="00051B77">
        <w:rPr>
          <w:rFonts w:ascii="Times New Roman" w:hAnsi="Times New Roman" w:cs="Times New Roman"/>
          <w:sz w:val="24"/>
          <w:szCs w:val="24"/>
        </w:rPr>
        <w:t xml:space="preserve">ționarea </w:t>
      </w:r>
      <w:r w:rsidRPr="00051B77">
        <w:rPr>
          <w:rFonts w:ascii="Times New Roman" w:hAnsi="Times New Roman" w:cs="Times New Roman"/>
          <w:sz w:val="24"/>
          <w:szCs w:val="24"/>
        </w:rPr>
        <w:t>conflictului”</w:t>
      </w:r>
      <w:r w:rsidR="00D049BC" w:rsidRPr="00051B77">
        <w:rPr>
          <w:rFonts w:ascii="Times New Roman" w:hAnsi="Times New Roman" w:cs="Times New Roman"/>
          <w:sz w:val="24"/>
          <w:szCs w:val="24"/>
        </w:rPr>
        <w:t>;</w:t>
      </w:r>
    </w:p>
    <w:p w14:paraId="05B2362D" w14:textId="77777777" w:rsidR="0031766C" w:rsidRPr="00051B77" w:rsidRDefault="0031766C" w:rsidP="00AC10EE">
      <w:pPr>
        <w:pStyle w:val="ListParagraph"/>
        <w:numPr>
          <w:ilvl w:val="0"/>
          <w:numId w:val="12"/>
        </w:numPr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>Se abrogă punctul 2 subpunctul 7 din Anexa 2 la Regulamentul privind participațiile calificate în capitalul social al societăților de asigurare sau de reasigurare, aprobat prin Hotărârea Comisiei Naționale a Pieței Financiare nr. 22/3/2023.</w:t>
      </w:r>
    </w:p>
    <w:p w14:paraId="20D50A6E" w14:textId="77777777" w:rsidR="0031766C" w:rsidRPr="00051B77" w:rsidRDefault="0031766C" w:rsidP="00AC10EE">
      <w:pPr>
        <w:pStyle w:val="ListParagraph"/>
        <w:numPr>
          <w:ilvl w:val="0"/>
          <w:numId w:val="12"/>
        </w:numPr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>Se abrogă Hotărârea Comisiei Naționale a Pieței Financiare nr. 50/2/2020 referitor la aprobarea Regulamentului privind activitatea de actuariat (Monitorul Oficial al Republicii Moldova, 2020, nr.304-312, art.1183).</w:t>
      </w:r>
    </w:p>
    <w:p w14:paraId="27FDECA3" w14:textId="599F99CC" w:rsidR="0031766C" w:rsidRPr="00051B77" w:rsidRDefault="0031766C" w:rsidP="00AC10EE">
      <w:pPr>
        <w:pStyle w:val="ListParagraph"/>
        <w:numPr>
          <w:ilvl w:val="0"/>
          <w:numId w:val="12"/>
        </w:numPr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1B77">
        <w:rPr>
          <w:rFonts w:ascii="Times New Roman" w:hAnsi="Times New Roman" w:cs="Times New Roman"/>
          <w:sz w:val="24"/>
          <w:szCs w:val="24"/>
        </w:rPr>
        <w:t xml:space="preserve">Punctul 1 intră în vigoare </w:t>
      </w:r>
      <w:r w:rsidR="00D51EA1">
        <w:rPr>
          <w:rFonts w:ascii="Times New Roman" w:hAnsi="Times New Roman" w:cs="Times New Roman"/>
          <w:sz w:val="24"/>
          <w:szCs w:val="24"/>
        </w:rPr>
        <w:t xml:space="preserve">în termen de </w:t>
      </w:r>
      <w:r w:rsidR="00C45726">
        <w:rPr>
          <w:rFonts w:ascii="Times New Roman" w:hAnsi="Times New Roman" w:cs="Times New Roman"/>
          <w:sz w:val="24"/>
          <w:szCs w:val="24"/>
        </w:rPr>
        <w:t>două</w:t>
      </w:r>
      <w:r w:rsidR="00C45726" w:rsidRPr="00051B77">
        <w:rPr>
          <w:rFonts w:ascii="Times New Roman" w:hAnsi="Times New Roman" w:cs="Times New Roman"/>
          <w:sz w:val="24"/>
          <w:szCs w:val="24"/>
        </w:rPr>
        <w:t xml:space="preserve"> </w:t>
      </w:r>
      <w:r w:rsidRPr="00051B77">
        <w:rPr>
          <w:rFonts w:ascii="Times New Roman" w:hAnsi="Times New Roman" w:cs="Times New Roman"/>
          <w:sz w:val="24"/>
          <w:szCs w:val="24"/>
        </w:rPr>
        <w:t>lun</w:t>
      </w:r>
      <w:r w:rsidR="00C45726">
        <w:rPr>
          <w:rFonts w:ascii="Times New Roman" w:hAnsi="Times New Roman" w:cs="Times New Roman"/>
          <w:sz w:val="24"/>
          <w:szCs w:val="24"/>
        </w:rPr>
        <w:t>i</w:t>
      </w:r>
      <w:r w:rsidRPr="00051B77">
        <w:rPr>
          <w:rFonts w:ascii="Times New Roman" w:hAnsi="Times New Roman" w:cs="Times New Roman"/>
          <w:sz w:val="24"/>
          <w:szCs w:val="24"/>
        </w:rPr>
        <w:t xml:space="preserve"> de la data publicării în Monitorul Oficial al Republicii Moldova, iar </w:t>
      </w:r>
      <w:r w:rsidR="00D035C4">
        <w:rPr>
          <w:rFonts w:ascii="Times New Roman" w:hAnsi="Times New Roman" w:cs="Times New Roman"/>
          <w:sz w:val="24"/>
          <w:szCs w:val="24"/>
        </w:rPr>
        <w:t>punctele</w:t>
      </w:r>
      <w:r w:rsidR="00A04450" w:rsidRPr="00051B77">
        <w:rPr>
          <w:rFonts w:ascii="Times New Roman" w:hAnsi="Times New Roman" w:cs="Times New Roman"/>
          <w:sz w:val="24"/>
          <w:szCs w:val="24"/>
        </w:rPr>
        <w:t xml:space="preserve"> 2,</w:t>
      </w:r>
      <w:r w:rsidRPr="00051B77">
        <w:rPr>
          <w:rFonts w:ascii="Times New Roman" w:hAnsi="Times New Roman" w:cs="Times New Roman"/>
          <w:sz w:val="24"/>
          <w:szCs w:val="24"/>
        </w:rPr>
        <w:t xml:space="preserve"> 3 și 4 intră în vigoare la data publicării în Monitorul Oficial al Republicii Moldova.</w:t>
      </w:r>
    </w:p>
    <w:p w14:paraId="64E38F68" w14:textId="7406C2EE" w:rsidR="0057105C" w:rsidRPr="00051B77" w:rsidRDefault="0057105C" w:rsidP="00AC10EE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7105C" w:rsidRPr="00051B77" w:rsidSect="0010756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A570" w14:textId="77777777" w:rsidR="00DE6866" w:rsidRDefault="00DE6866" w:rsidP="006146AC">
      <w:pPr>
        <w:spacing w:after="0" w:line="240" w:lineRule="auto"/>
      </w:pPr>
      <w:r>
        <w:separator/>
      </w:r>
    </w:p>
  </w:endnote>
  <w:endnote w:type="continuationSeparator" w:id="0">
    <w:p w14:paraId="704BDA4F" w14:textId="77777777" w:rsidR="00DE6866" w:rsidRDefault="00DE6866" w:rsidP="006146AC">
      <w:pPr>
        <w:spacing w:after="0" w:line="240" w:lineRule="auto"/>
      </w:pPr>
      <w:r>
        <w:continuationSeparator/>
      </w:r>
    </w:p>
  </w:endnote>
  <w:endnote w:type="continuationNotice" w:id="1">
    <w:p w14:paraId="71689B0B" w14:textId="77777777" w:rsidR="00DE6866" w:rsidRDefault="00DE6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084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2E36B" w14:textId="5FC6CF25" w:rsidR="00B2568A" w:rsidRDefault="00B25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C058A" w14:textId="77777777" w:rsidR="00B2568A" w:rsidRDefault="00B25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A48D" w14:textId="77777777" w:rsidR="00DE6866" w:rsidRDefault="00DE6866" w:rsidP="006146AC">
      <w:pPr>
        <w:spacing w:after="0" w:line="240" w:lineRule="auto"/>
      </w:pPr>
      <w:r>
        <w:separator/>
      </w:r>
    </w:p>
  </w:footnote>
  <w:footnote w:type="continuationSeparator" w:id="0">
    <w:p w14:paraId="7A68638E" w14:textId="77777777" w:rsidR="00DE6866" w:rsidRDefault="00DE6866" w:rsidP="006146AC">
      <w:pPr>
        <w:spacing w:after="0" w:line="240" w:lineRule="auto"/>
      </w:pPr>
      <w:r>
        <w:continuationSeparator/>
      </w:r>
    </w:p>
  </w:footnote>
  <w:footnote w:type="continuationNotice" w:id="1">
    <w:p w14:paraId="1538D419" w14:textId="77777777" w:rsidR="00DE6866" w:rsidRDefault="00DE68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2BE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176257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892ECE"/>
    <w:multiLevelType w:val="multilevel"/>
    <w:tmpl w:val="8786AF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308B70AD"/>
    <w:multiLevelType w:val="multilevel"/>
    <w:tmpl w:val="EC8A23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ro-M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D7137"/>
    <w:multiLevelType w:val="multilevel"/>
    <w:tmpl w:val="56881D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BC66839"/>
    <w:multiLevelType w:val="multilevel"/>
    <w:tmpl w:val="60306E0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4253399F"/>
    <w:multiLevelType w:val="hybridMultilevel"/>
    <w:tmpl w:val="7E6EAB16"/>
    <w:lvl w:ilvl="0" w:tplc="6C4031B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217A54"/>
    <w:multiLevelType w:val="multilevel"/>
    <w:tmpl w:val="54547486"/>
    <w:lvl w:ilvl="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8" w15:restartNumberingAfterBreak="0">
    <w:nsid w:val="5EA1013B"/>
    <w:multiLevelType w:val="multilevel"/>
    <w:tmpl w:val="819A6AC0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24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5192AB1"/>
    <w:multiLevelType w:val="multilevel"/>
    <w:tmpl w:val="E29E60B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720C0D0D"/>
    <w:multiLevelType w:val="multilevel"/>
    <w:tmpl w:val="B41C227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7B9005EA"/>
    <w:multiLevelType w:val="multilevel"/>
    <w:tmpl w:val="2012A02C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24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25191049">
    <w:abstractNumId w:val="6"/>
  </w:num>
  <w:num w:numId="2" w16cid:durableId="993413560">
    <w:abstractNumId w:val="3"/>
  </w:num>
  <w:num w:numId="3" w16cid:durableId="1298685678">
    <w:abstractNumId w:val="0"/>
  </w:num>
  <w:num w:numId="4" w16cid:durableId="365300866">
    <w:abstractNumId w:val="1"/>
  </w:num>
  <w:num w:numId="5" w16cid:durableId="1323385900">
    <w:abstractNumId w:val="2"/>
  </w:num>
  <w:num w:numId="6" w16cid:durableId="1058476553">
    <w:abstractNumId w:val="10"/>
  </w:num>
  <w:num w:numId="7" w16cid:durableId="1413358765">
    <w:abstractNumId w:val="7"/>
  </w:num>
  <w:num w:numId="8" w16cid:durableId="326985945">
    <w:abstractNumId w:val="4"/>
  </w:num>
  <w:num w:numId="9" w16cid:durableId="2072148221">
    <w:abstractNumId w:val="5"/>
  </w:num>
  <w:num w:numId="10" w16cid:durableId="23139095">
    <w:abstractNumId w:val="8"/>
  </w:num>
  <w:num w:numId="11" w16cid:durableId="1940023703">
    <w:abstractNumId w:val="9"/>
  </w:num>
  <w:num w:numId="12" w16cid:durableId="459957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BE"/>
    <w:rsid w:val="000124AC"/>
    <w:rsid w:val="0003061C"/>
    <w:rsid w:val="000321DE"/>
    <w:rsid w:val="000373DB"/>
    <w:rsid w:val="000432C8"/>
    <w:rsid w:val="0005179E"/>
    <w:rsid w:val="00051B77"/>
    <w:rsid w:val="000579E0"/>
    <w:rsid w:val="00060A3D"/>
    <w:rsid w:val="000663F4"/>
    <w:rsid w:val="000670D7"/>
    <w:rsid w:val="00085B0B"/>
    <w:rsid w:val="000B2FD4"/>
    <w:rsid w:val="000C02EA"/>
    <w:rsid w:val="000C2354"/>
    <w:rsid w:val="000E389B"/>
    <w:rsid w:val="000E7DDF"/>
    <w:rsid w:val="000F21A7"/>
    <w:rsid w:val="000F3AB8"/>
    <w:rsid w:val="000F3CB8"/>
    <w:rsid w:val="00103BD9"/>
    <w:rsid w:val="0010756E"/>
    <w:rsid w:val="00112148"/>
    <w:rsid w:val="001147C6"/>
    <w:rsid w:val="00125880"/>
    <w:rsid w:val="00126923"/>
    <w:rsid w:val="0013745A"/>
    <w:rsid w:val="00143E65"/>
    <w:rsid w:val="00172FDA"/>
    <w:rsid w:val="00186E8B"/>
    <w:rsid w:val="001947C0"/>
    <w:rsid w:val="00195C67"/>
    <w:rsid w:val="00195F93"/>
    <w:rsid w:val="00197F24"/>
    <w:rsid w:val="001A6777"/>
    <w:rsid w:val="001D0DDB"/>
    <w:rsid w:val="001D585E"/>
    <w:rsid w:val="001E7552"/>
    <w:rsid w:val="001F426E"/>
    <w:rsid w:val="00200D7F"/>
    <w:rsid w:val="00207F81"/>
    <w:rsid w:val="002167EA"/>
    <w:rsid w:val="002238FB"/>
    <w:rsid w:val="0022515D"/>
    <w:rsid w:val="002345CE"/>
    <w:rsid w:val="002426CD"/>
    <w:rsid w:val="002564D3"/>
    <w:rsid w:val="002568AD"/>
    <w:rsid w:val="00263FD7"/>
    <w:rsid w:val="00267834"/>
    <w:rsid w:val="00272AEB"/>
    <w:rsid w:val="00281AE0"/>
    <w:rsid w:val="002B4B4F"/>
    <w:rsid w:val="002B65C6"/>
    <w:rsid w:val="002C12A9"/>
    <w:rsid w:val="002C3D91"/>
    <w:rsid w:val="002C78BE"/>
    <w:rsid w:val="002E5444"/>
    <w:rsid w:val="002E5CCC"/>
    <w:rsid w:val="002E675F"/>
    <w:rsid w:val="002E74E4"/>
    <w:rsid w:val="002E7FA6"/>
    <w:rsid w:val="002F2174"/>
    <w:rsid w:val="002F7233"/>
    <w:rsid w:val="00304F2D"/>
    <w:rsid w:val="00305183"/>
    <w:rsid w:val="00310C97"/>
    <w:rsid w:val="0031729A"/>
    <w:rsid w:val="0031766C"/>
    <w:rsid w:val="00320227"/>
    <w:rsid w:val="0032302C"/>
    <w:rsid w:val="0032680B"/>
    <w:rsid w:val="003300FA"/>
    <w:rsid w:val="00332D60"/>
    <w:rsid w:val="003362BE"/>
    <w:rsid w:val="0035173E"/>
    <w:rsid w:val="00360DA3"/>
    <w:rsid w:val="00360DF8"/>
    <w:rsid w:val="00363191"/>
    <w:rsid w:val="00365C34"/>
    <w:rsid w:val="00382F0C"/>
    <w:rsid w:val="00386CB2"/>
    <w:rsid w:val="003924B2"/>
    <w:rsid w:val="00393B08"/>
    <w:rsid w:val="00396990"/>
    <w:rsid w:val="003A0CD9"/>
    <w:rsid w:val="003A3AC5"/>
    <w:rsid w:val="003A4B4B"/>
    <w:rsid w:val="003B78A0"/>
    <w:rsid w:val="003C3CEE"/>
    <w:rsid w:val="003D406B"/>
    <w:rsid w:val="003E3C0C"/>
    <w:rsid w:val="003E7E31"/>
    <w:rsid w:val="003F6B85"/>
    <w:rsid w:val="003F6E7F"/>
    <w:rsid w:val="00400BCB"/>
    <w:rsid w:val="00412F12"/>
    <w:rsid w:val="00424447"/>
    <w:rsid w:val="00427415"/>
    <w:rsid w:val="00430400"/>
    <w:rsid w:val="00432D01"/>
    <w:rsid w:val="004657C2"/>
    <w:rsid w:val="0047164F"/>
    <w:rsid w:val="00473799"/>
    <w:rsid w:val="0048492A"/>
    <w:rsid w:val="004A3E86"/>
    <w:rsid w:val="004A42A8"/>
    <w:rsid w:val="004A5DF8"/>
    <w:rsid w:val="004A708F"/>
    <w:rsid w:val="004B17CE"/>
    <w:rsid w:val="004C343C"/>
    <w:rsid w:val="004C4F42"/>
    <w:rsid w:val="004C6898"/>
    <w:rsid w:val="004D0DDD"/>
    <w:rsid w:val="004D362A"/>
    <w:rsid w:val="004E56FC"/>
    <w:rsid w:val="004F6766"/>
    <w:rsid w:val="00501F10"/>
    <w:rsid w:val="00520F0A"/>
    <w:rsid w:val="00527383"/>
    <w:rsid w:val="00527936"/>
    <w:rsid w:val="00535FB7"/>
    <w:rsid w:val="00562EBE"/>
    <w:rsid w:val="00564A5C"/>
    <w:rsid w:val="00565583"/>
    <w:rsid w:val="0057105C"/>
    <w:rsid w:val="005916D1"/>
    <w:rsid w:val="005A079F"/>
    <w:rsid w:val="005A3BB7"/>
    <w:rsid w:val="005A3C56"/>
    <w:rsid w:val="005B7254"/>
    <w:rsid w:val="005C13CB"/>
    <w:rsid w:val="005C729F"/>
    <w:rsid w:val="005D280F"/>
    <w:rsid w:val="005D2A57"/>
    <w:rsid w:val="005D2BB0"/>
    <w:rsid w:val="005D4235"/>
    <w:rsid w:val="005E12FF"/>
    <w:rsid w:val="005E2BCF"/>
    <w:rsid w:val="006067E1"/>
    <w:rsid w:val="00607AC3"/>
    <w:rsid w:val="006146AC"/>
    <w:rsid w:val="006348E4"/>
    <w:rsid w:val="00644A8B"/>
    <w:rsid w:val="00645A50"/>
    <w:rsid w:val="0065124E"/>
    <w:rsid w:val="00653BA9"/>
    <w:rsid w:val="00657F7A"/>
    <w:rsid w:val="00664D19"/>
    <w:rsid w:val="0067416A"/>
    <w:rsid w:val="00687F0D"/>
    <w:rsid w:val="00690607"/>
    <w:rsid w:val="00693A2D"/>
    <w:rsid w:val="006A09F5"/>
    <w:rsid w:val="006A25F0"/>
    <w:rsid w:val="006A38BF"/>
    <w:rsid w:val="006B4850"/>
    <w:rsid w:val="006C4742"/>
    <w:rsid w:val="006E0823"/>
    <w:rsid w:val="006E29C6"/>
    <w:rsid w:val="006E5C37"/>
    <w:rsid w:val="007106AB"/>
    <w:rsid w:val="00737409"/>
    <w:rsid w:val="007452B0"/>
    <w:rsid w:val="0075346E"/>
    <w:rsid w:val="00756DB5"/>
    <w:rsid w:val="00762F0F"/>
    <w:rsid w:val="00770B8D"/>
    <w:rsid w:val="0077342A"/>
    <w:rsid w:val="0078013E"/>
    <w:rsid w:val="00787204"/>
    <w:rsid w:val="00793B86"/>
    <w:rsid w:val="007953E1"/>
    <w:rsid w:val="007A0175"/>
    <w:rsid w:val="007A1D0D"/>
    <w:rsid w:val="007A5D02"/>
    <w:rsid w:val="007B4960"/>
    <w:rsid w:val="007B7A00"/>
    <w:rsid w:val="007C04AB"/>
    <w:rsid w:val="007C1A2C"/>
    <w:rsid w:val="007D3147"/>
    <w:rsid w:val="007D5561"/>
    <w:rsid w:val="007E36B0"/>
    <w:rsid w:val="007E52B4"/>
    <w:rsid w:val="007F2B83"/>
    <w:rsid w:val="007F540C"/>
    <w:rsid w:val="00804CA3"/>
    <w:rsid w:val="00805E09"/>
    <w:rsid w:val="00827DB4"/>
    <w:rsid w:val="0083765C"/>
    <w:rsid w:val="00853C14"/>
    <w:rsid w:val="00855A4B"/>
    <w:rsid w:val="00861CB1"/>
    <w:rsid w:val="008763E6"/>
    <w:rsid w:val="00877579"/>
    <w:rsid w:val="00882C29"/>
    <w:rsid w:val="00883C15"/>
    <w:rsid w:val="00892B66"/>
    <w:rsid w:val="0089567D"/>
    <w:rsid w:val="00896060"/>
    <w:rsid w:val="008A3456"/>
    <w:rsid w:val="008C2270"/>
    <w:rsid w:val="008C3AC9"/>
    <w:rsid w:val="008D0BE5"/>
    <w:rsid w:val="008E299B"/>
    <w:rsid w:val="00907F3E"/>
    <w:rsid w:val="0092148A"/>
    <w:rsid w:val="00923196"/>
    <w:rsid w:val="009251A6"/>
    <w:rsid w:val="009272D9"/>
    <w:rsid w:val="00944106"/>
    <w:rsid w:val="00954BA4"/>
    <w:rsid w:val="0095591E"/>
    <w:rsid w:val="00977874"/>
    <w:rsid w:val="00981172"/>
    <w:rsid w:val="009935CF"/>
    <w:rsid w:val="009A2FAA"/>
    <w:rsid w:val="009C00F1"/>
    <w:rsid w:val="009C1046"/>
    <w:rsid w:val="009D4EC7"/>
    <w:rsid w:val="009E48B8"/>
    <w:rsid w:val="009F5D04"/>
    <w:rsid w:val="00A04450"/>
    <w:rsid w:val="00A050FC"/>
    <w:rsid w:val="00A10905"/>
    <w:rsid w:val="00A14E05"/>
    <w:rsid w:val="00A175B9"/>
    <w:rsid w:val="00A2584A"/>
    <w:rsid w:val="00A32026"/>
    <w:rsid w:val="00A33925"/>
    <w:rsid w:val="00A36B8A"/>
    <w:rsid w:val="00A44796"/>
    <w:rsid w:val="00A45447"/>
    <w:rsid w:val="00A45DC8"/>
    <w:rsid w:val="00A45EEB"/>
    <w:rsid w:val="00A50E63"/>
    <w:rsid w:val="00A535DA"/>
    <w:rsid w:val="00A60FD9"/>
    <w:rsid w:val="00A66840"/>
    <w:rsid w:val="00A710B8"/>
    <w:rsid w:val="00A81CF0"/>
    <w:rsid w:val="00AB4BD6"/>
    <w:rsid w:val="00AC10EE"/>
    <w:rsid w:val="00AC15AF"/>
    <w:rsid w:val="00AC400E"/>
    <w:rsid w:val="00AD0F43"/>
    <w:rsid w:val="00AD446E"/>
    <w:rsid w:val="00AE11FD"/>
    <w:rsid w:val="00AF0439"/>
    <w:rsid w:val="00B153DD"/>
    <w:rsid w:val="00B21177"/>
    <w:rsid w:val="00B23C13"/>
    <w:rsid w:val="00B24480"/>
    <w:rsid w:val="00B2568A"/>
    <w:rsid w:val="00B2678B"/>
    <w:rsid w:val="00B27E5E"/>
    <w:rsid w:val="00B401B2"/>
    <w:rsid w:val="00B44018"/>
    <w:rsid w:val="00B61BD3"/>
    <w:rsid w:val="00B62C0C"/>
    <w:rsid w:val="00B6321F"/>
    <w:rsid w:val="00B66EE8"/>
    <w:rsid w:val="00B75B79"/>
    <w:rsid w:val="00B83D5D"/>
    <w:rsid w:val="00B9475C"/>
    <w:rsid w:val="00BA1219"/>
    <w:rsid w:val="00BA7EC8"/>
    <w:rsid w:val="00BB2B33"/>
    <w:rsid w:val="00BC1AA5"/>
    <w:rsid w:val="00BC4C54"/>
    <w:rsid w:val="00BF04FF"/>
    <w:rsid w:val="00BF2B66"/>
    <w:rsid w:val="00BF4F4C"/>
    <w:rsid w:val="00C0587E"/>
    <w:rsid w:val="00C06C8F"/>
    <w:rsid w:val="00C1288B"/>
    <w:rsid w:val="00C15AA1"/>
    <w:rsid w:val="00C21C9B"/>
    <w:rsid w:val="00C45726"/>
    <w:rsid w:val="00C50D23"/>
    <w:rsid w:val="00C547BA"/>
    <w:rsid w:val="00C631F9"/>
    <w:rsid w:val="00C64C01"/>
    <w:rsid w:val="00C67328"/>
    <w:rsid w:val="00C67EFD"/>
    <w:rsid w:val="00C7144C"/>
    <w:rsid w:val="00C71C69"/>
    <w:rsid w:val="00C80E6B"/>
    <w:rsid w:val="00C86DE2"/>
    <w:rsid w:val="00C90E81"/>
    <w:rsid w:val="00C92383"/>
    <w:rsid w:val="00C92874"/>
    <w:rsid w:val="00C96DB8"/>
    <w:rsid w:val="00C96E7E"/>
    <w:rsid w:val="00CA124A"/>
    <w:rsid w:val="00CB1366"/>
    <w:rsid w:val="00CB1B83"/>
    <w:rsid w:val="00CB4B98"/>
    <w:rsid w:val="00CC3F78"/>
    <w:rsid w:val="00CC615C"/>
    <w:rsid w:val="00CD32F7"/>
    <w:rsid w:val="00CD36C5"/>
    <w:rsid w:val="00CD6BEC"/>
    <w:rsid w:val="00CE2603"/>
    <w:rsid w:val="00CE2D7E"/>
    <w:rsid w:val="00CF1424"/>
    <w:rsid w:val="00CF219A"/>
    <w:rsid w:val="00CF4C42"/>
    <w:rsid w:val="00D00310"/>
    <w:rsid w:val="00D035C4"/>
    <w:rsid w:val="00D0411E"/>
    <w:rsid w:val="00D049BC"/>
    <w:rsid w:val="00D220BC"/>
    <w:rsid w:val="00D32248"/>
    <w:rsid w:val="00D37B1C"/>
    <w:rsid w:val="00D47EAC"/>
    <w:rsid w:val="00D51EA1"/>
    <w:rsid w:val="00D541E4"/>
    <w:rsid w:val="00D551E1"/>
    <w:rsid w:val="00D60D43"/>
    <w:rsid w:val="00D701C2"/>
    <w:rsid w:val="00D70C93"/>
    <w:rsid w:val="00D72DB3"/>
    <w:rsid w:val="00D81288"/>
    <w:rsid w:val="00D82953"/>
    <w:rsid w:val="00DA2848"/>
    <w:rsid w:val="00DA337F"/>
    <w:rsid w:val="00DC0EB1"/>
    <w:rsid w:val="00DC22CA"/>
    <w:rsid w:val="00DC613D"/>
    <w:rsid w:val="00DD1379"/>
    <w:rsid w:val="00DD50AF"/>
    <w:rsid w:val="00DE6866"/>
    <w:rsid w:val="00DF209E"/>
    <w:rsid w:val="00DF7458"/>
    <w:rsid w:val="00E007B3"/>
    <w:rsid w:val="00E00D55"/>
    <w:rsid w:val="00E0352B"/>
    <w:rsid w:val="00E069D0"/>
    <w:rsid w:val="00E12A16"/>
    <w:rsid w:val="00E14F9F"/>
    <w:rsid w:val="00E426EC"/>
    <w:rsid w:val="00E60DC1"/>
    <w:rsid w:val="00E73AE1"/>
    <w:rsid w:val="00E8348E"/>
    <w:rsid w:val="00E90572"/>
    <w:rsid w:val="00E96D51"/>
    <w:rsid w:val="00EA1E1E"/>
    <w:rsid w:val="00EA47DA"/>
    <w:rsid w:val="00EB3D4D"/>
    <w:rsid w:val="00EC1C16"/>
    <w:rsid w:val="00EC1D9F"/>
    <w:rsid w:val="00EC4755"/>
    <w:rsid w:val="00ED0D96"/>
    <w:rsid w:val="00ED45ED"/>
    <w:rsid w:val="00EE049A"/>
    <w:rsid w:val="00EE3C44"/>
    <w:rsid w:val="00EE7627"/>
    <w:rsid w:val="00EF1701"/>
    <w:rsid w:val="00EF7471"/>
    <w:rsid w:val="00F148A3"/>
    <w:rsid w:val="00F22DE1"/>
    <w:rsid w:val="00F235B8"/>
    <w:rsid w:val="00F2467E"/>
    <w:rsid w:val="00F33756"/>
    <w:rsid w:val="00F55796"/>
    <w:rsid w:val="00F57D11"/>
    <w:rsid w:val="00F60780"/>
    <w:rsid w:val="00F71E16"/>
    <w:rsid w:val="00F82376"/>
    <w:rsid w:val="00F84D5F"/>
    <w:rsid w:val="00F917F4"/>
    <w:rsid w:val="00F97293"/>
    <w:rsid w:val="00FA71D2"/>
    <w:rsid w:val="00FB24CD"/>
    <w:rsid w:val="00FB3670"/>
    <w:rsid w:val="00FC5E5B"/>
    <w:rsid w:val="00FD7FB8"/>
    <w:rsid w:val="00FE20A0"/>
    <w:rsid w:val="00FF6B2A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B094"/>
  <w15:chartTrackingRefBased/>
  <w15:docId w15:val="{DD4BFAE9-4458-4624-A1CE-61A0B594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4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7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204"/>
    <w:rPr>
      <w:b/>
      <w:bCs/>
      <w:sz w:val="20"/>
      <w:szCs w:val="20"/>
    </w:rPr>
  </w:style>
  <w:style w:type="paragraph" w:styleId="NoSpacing">
    <w:name w:val="No Spacing"/>
    <w:uiPriority w:val="1"/>
    <w:qFormat/>
    <w:rsid w:val="002251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AC"/>
  </w:style>
  <w:style w:type="paragraph" w:styleId="Footer">
    <w:name w:val="footer"/>
    <w:basedOn w:val="Normal"/>
    <w:link w:val="FooterChar"/>
    <w:uiPriority w:val="99"/>
    <w:unhideWhenUsed/>
    <w:rsid w:val="0061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65D889A1E934992E0AD86F1817C54" ma:contentTypeVersion="2" ma:contentTypeDescription="Create a new document." ma:contentTypeScope="" ma:versionID="4cb4e3776d2083c2dbceb8e9a25d551a">
  <xsd:schema xmlns:xsd="http://www.w3.org/2001/XMLSchema" xmlns:xs="http://www.w3.org/2001/XMLSchema" xmlns:p="http://schemas.microsoft.com/office/2006/metadata/properties" xmlns:ns2="95f4b69a-0cd0-4460-9690-b9cfe6860272" targetNamespace="http://schemas.microsoft.com/office/2006/metadata/properties" ma:root="true" ma:fieldsID="30f81f749ba8d09f9d703971c71c1f93" ns2:_="">
    <xsd:import namespace="95f4b69a-0cd0-4460-9690-b9cfe68602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b69a-0cd0-4460-9690-b9cfe6860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F79B4-6DB5-4E2F-902C-99E153CA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4b69a-0cd0-4460-9690-b9cfe6860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885F8-E562-455D-B40F-2ED17B93A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57BAB-06D8-45FC-96B8-D49DC1399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4ABA2-B4F3-4F3F-83C9-62676099CC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2421</Words>
  <Characters>15136</Characters>
  <Application>Microsoft Office Word</Application>
  <DocSecurity>0</DocSecurity>
  <Lines>344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2026-07-24T09:03:00Z</cp:lastPrinted>
  <dcterms:created xsi:type="dcterms:W3CDTF">2026-07-24T09:05:00Z</dcterms:created>
  <dcterms:modified xsi:type="dcterms:W3CDTF">2026-07-24T09:05:00Z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2025-10-13T08:16:00Z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f60c278a-03a8-4190-a21a-d2f80daa26ce</vt:lpwstr>
  </property>
  <property fmtid="{D5CDD505-2E9C-101B-9397-08002B2CF9AE}" pid="8" name="MSIP_Label_38962dcf-d39f-4edc-a396-338a56ba9170_ContentBits">
    <vt:lpwstr>0</vt:lpwstr>
  </property>
  <property fmtid="{D5CDD505-2E9C-101B-9397-08002B2CF9AE}" pid="9" name="MSIP_Label_38962dcf-d39f-4edc-a396-338a56ba9170_Tag">
    <vt:lpwstr>10, 0, 1, 1</vt:lpwstr>
  </property>
  <property fmtid="{D5CDD505-2E9C-101B-9397-08002B2CF9AE}" pid="10" name="ContentTypeId">
    <vt:lpwstr>0x01010089D65D889A1E934992E0AD86F1817C54</vt:lpwstr>
  </property>
</Properties>
</file>